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618" w:rsidRPr="001E0618" w:rsidRDefault="001E0618" w:rsidP="001E0618">
      <w:pPr>
        <w:shd w:val="clear" w:color="auto" w:fill="FFFFFF"/>
        <w:spacing w:before="100" w:beforeAutospacing="1" w:after="240" w:line="240" w:lineRule="auto"/>
        <w:jc w:val="center"/>
        <w:rPr>
          <w:rFonts w:ascii="Arial" w:eastAsia="Times New Roman" w:hAnsi="Arial" w:cs="Arial"/>
          <w:color w:val="222222"/>
          <w:sz w:val="24"/>
          <w:szCs w:val="24"/>
          <w:lang w:eastAsia="en-GB"/>
        </w:rPr>
      </w:pPr>
      <w:bookmarkStart w:id="0" w:name="_GoBack"/>
      <w:r>
        <w:rPr>
          <w:rFonts w:ascii="Arial" w:eastAsia="Times New Roman" w:hAnsi="Arial" w:cs="Arial"/>
          <w:b/>
          <w:bCs/>
          <w:color w:val="000000"/>
          <w:sz w:val="36"/>
          <w:szCs w:val="36"/>
          <w:lang w:eastAsia="en-GB"/>
        </w:rPr>
        <w:t>Sri Lanka's economy shows signs of stabilization but poverty to remain e</w:t>
      </w:r>
      <w:r w:rsidRPr="001E0618">
        <w:rPr>
          <w:rFonts w:ascii="Arial" w:eastAsia="Times New Roman" w:hAnsi="Arial" w:cs="Arial"/>
          <w:b/>
          <w:bCs/>
          <w:color w:val="000000"/>
          <w:sz w:val="36"/>
          <w:szCs w:val="36"/>
          <w:lang w:eastAsia="en-GB"/>
        </w:rPr>
        <w:t>levated</w:t>
      </w:r>
      <w:r>
        <w:rPr>
          <w:rFonts w:ascii="Arial" w:eastAsia="Times New Roman" w:hAnsi="Arial" w:cs="Arial"/>
          <w:b/>
          <w:bCs/>
          <w:color w:val="000000"/>
          <w:sz w:val="36"/>
          <w:szCs w:val="36"/>
          <w:lang w:eastAsia="en-GB"/>
        </w:rPr>
        <w:t xml:space="preserve">  </w:t>
      </w:r>
    </w:p>
    <w:bookmarkEnd w:id="0"/>
    <w:p w:rsidR="001E0618" w:rsidRPr="001E0618" w:rsidRDefault="001E0618" w:rsidP="001E0618">
      <w:pPr>
        <w:shd w:val="clear" w:color="auto" w:fill="FFFFFF"/>
        <w:spacing w:before="100" w:beforeAutospacing="1" w:after="240" w:line="240" w:lineRule="auto"/>
        <w:jc w:val="both"/>
        <w:rPr>
          <w:rFonts w:ascii="Arial" w:eastAsia="Times New Roman" w:hAnsi="Arial" w:cs="Arial"/>
          <w:color w:val="222222"/>
          <w:sz w:val="24"/>
          <w:szCs w:val="24"/>
          <w:lang w:eastAsia="en-GB"/>
        </w:rPr>
      </w:pPr>
      <w:r>
        <w:rPr>
          <w:rFonts w:ascii="Arial" w:eastAsia="Times New Roman" w:hAnsi="Arial" w:cs="Arial"/>
          <w:b/>
          <w:bCs/>
          <w:color w:val="000000"/>
          <w:sz w:val="27"/>
          <w:szCs w:val="27"/>
          <w:lang w:eastAsia="en-GB"/>
        </w:rPr>
        <w:t>COLOMBO -</w:t>
      </w:r>
      <w:r w:rsidRPr="001E0618">
        <w:rPr>
          <w:rFonts w:ascii="Arial" w:eastAsia="Times New Roman" w:hAnsi="Arial" w:cs="Arial"/>
          <w:color w:val="000000"/>
          <w:sz w:val="27"/>
          <w:szCs w:val="27"/>
          <w:lang w:eastAsia="en-GB"/>
        </w:rPr>
        <w:t>Sri Lanka’s economy is projected to see moderate growth of 2.2% in 2024, showing signs of stabilization, following the severe economic downturn of 2022. But, the country still faces elevated poverty levels, income inequality, and labour market concerns, says the World Bank's latest bi-annual update.</w:t>
      </w:r>
    </w:p>
    <w:p w:rsidR="001E0618" w:rsidRPr="001E0618" w:rsidRDefault="001E0618" w:rsidP="001E0618">
      <w:pPr>
        <w:shd w:val="clear" w:color="auto" w:fill="FFFFFF"/>
        <w:spacing w:before="100" w:beforeAutospacing="1" w:after="240" w:line="240" w:lineRule="auto"/>
        <w:rPr>
          <w:rFonts w:ascii="Arial" w:eastAsia="Times New Roman" w:hAnsi="Arial" w:cs="Arial"/>
          <w:sz w:val="24"/>
          <w:szCs w:val="24"/>
          <w:lang w:eastAsia="en-GB"/>
        </w:rPr>
      </w:pPr>
      <w:r w:rsidRPr="001E0618">
        <w:rPr>
          <w:rFonts w:ascii="Arial" w:eastAsia="Times New Roman" w:hAnsi="Arial" w:cs="Arial"/>
          <w:color w:val="000000"/>
          <w:sz w:val="27"/>
          <w:szCs w:val="27"/>
          <w:lang w:eastAsia="en-GB"/>
        </w:rPr>
        <w:t>Released today, the </w:t>
      </w:r>
      <w:hyperlink r:id="rId4" w:tgtFrame="_blank" w:history="1">
        <w:r w:rsidRPr="001E0618">
          <w:rPr>
            <w:rFonts w:ascii="Arial" w:eastAsia="Times New Roman" w:hAnsi="Arial" w:cs="Arial"/>
            <w:color w:val="0071BC"/>
            <w:sz w:val="27"/>
            <w:szCs w:val="27"/>
            <w:u w:val="single"/>
            <w:lang w:eastAsia="en-GB"/>
          </w:rPr>
          <w:t>Sri Lanka Development Update, </w:t>
        </w:r>
        <w:r w:rsidRPr="001E0618">
          <w:rPr>
            <w:rFonts w:ascii="Arial" w:eastAsia="Times New Roman" w:hAnsi="Arial" w:cs="Arial"/>
            <w:b/>
            <w:bCs/>
            <w:i/>
            <w:iCs/>
            <w:color w:val="0071BC"/>
            <w:sz w:val="27"/>
            <w:szCs w:val="27"/>
            <w:lang w:eastAsia="en-GB"/>
          </w:rPr>
          <w:t>Bridge to Recovery,</w:t>
        </w:r>
      </w:hyperlink>
      <w:r w:rsidRPr="001E0618">
        <w:rPr>
          <w:rFonts w:ascii="Arial" w:eastAsia="Times New Roman" w:hAnsi="Arial" w:cs="Arial"/>
          <w:color w:val="000000"/>
          <w:sz w:val="27"/>
          <w:szCs w:val="27"/>
          <w:lang w:eastAsia="en-GB"/>
        </w:rPr>
        <w:t> highlights that Sri Lanka saw declining inflation, higher revenues on the back of the implementation of new fiscal policies, and a current account surplus for the first time in nearly five decades, buoyed by increased remittances and a rebound in tourism.</w:t>
      </w:r>
    </w:p>
    <w:p w:rsidR="001E0618" w:rsidRPr="001E0618" w:rsidRDefault="001E0618" w:rsidP="001E0618">
      <w:pPr>
        <w:shd w:val="clear" w:color="auto" w:fill="FFFFFF"/>
        <w:spacing w:before="100" w:beforeAutospacing="1" w:after="240" w:line="240" w:lineRule="auto"/>
        <w:rPr>
          <w:rFonts w:ascii="Arial" w:eastAsia="Times New Roman" w:hAnsi="Arial" w:cs="Arial"/>
          <w:sz w:val="24"/>
          <w:szCs w:val="24"/>
          <w:lang w:eastAsia="en-GB"/>
        </w:rPr>
      </w:pPr>
      <w:r w:rsidRPr="001E0618">
        <w:rPr>
          <w:rFonts w:ascii="Arial" w:eastAsia="Times New Roman" w:hAnsi="Arial" w:cs="Arial"/>
          <w:color w:val="000000"/>
          <w:sz w:val="27"/>
          <w:szCs w:val="27"/>
          <w:lang w:eastAsia="en-GB"/>
        </w:rPr>
        <w:t xml:space="preserve">However, poverty rates continued to rise for the fourth year in a row, with an estimated 25.9% of Sri Lankans living below the poverty line in 2023. </w:t>
      </w:r>
      <w:proofErr w:type="spellStart"/>
      <w:r w:rsidRPr="001E0618">
        <w:rPr>
          <w:rFonts w:ascii="Arial" w:eastAsia="Times New Roman" w:hAnsi="Arial" w:cs="Arial"/>
          <w:color w:val="000000"/>
          <w:sz w:val="27"/>
          <w:szCs w:val="27"/>
          <w:lang w:eastAsia="en-GB"/>
        </w:rPr>
        <w:t>Labor</w:t>
      </w:r>
      <w:proofErr w:type="spellEnd"/>
      <w:r w:rsidRPr="001E0618">
        <w:rPr>
          <w:rFonts w:ascii="Arial" w:eastAsia="Times New Roman" w:hAnsi="Arial" w:cs="Arial"/>
          <w:color w:val="000000"/>
          <w:sz w:val="27"/>
          <w:szCs w:val="27"/>
          <w:lang w:eastAsia="en-GB"/>
        </w:rPr>
        <w:t xml:space="preserve"> force participation has also seen a decline, particularly among women and in urban areas, exacerbated by the closure of micro, small, and medium-sized enterprises (MSMEs). Households are grappling with multiple pressures from high prices, income losses, and under employment. This has led to households taking on debt to meet food requirements and maintain spending on health and education.</w:t>
      </w:r>
    </w:p>
    <w:p w:rsidR="001E0618" w:rsidRPr="001E0618" w:rsidRDefault="001E0618" w:rsidP="001E0618">
      <w:pPr>
        <w:shd w:val="clear" w:color="auto" w:fill="FFFFFF"/>
        <w:spacing w:before="100" w:beforeAutospacing="1" w:after="240" w:line="240" w:lineRule="auto"/>
        <w:rPr>
          <w:rFonts w:ascii="Arial" w:eastAsia="Times New Roman" w:hAnsi="Arial" w:cs="Arial"/>
          <w:sz w:val="24"/>
          <w:szCs w:val="24"/>
          <w:lang w:eastAsia="en-GB"/>
        </w:rPr>
      </w:pPr>
      <w:r w:rsidRPr="001E0618">
        <w:rPr>
          <w:rFonts w:ascii="Arial" w:eastAsia="Times New Roman" w:hAnsi="Arial" w:cs="Arial"/>
          <w:i/>
          <w:iCs/>
          <w:color w:val="000000"/>
          <w:sz w:val="27"/>
          <w:szCs w:val="27"/>
          <w:lang w:eastAsia="en-GB"/>
        </w:rPr>
        <w:t>“Sri Lanka’s economy is on the road to recovery, but sustained efforts to mitigate the impact of the economic crisis on the poor and vulnerable are critical, alongside a continuation of the path of robust and credible structural reforms,” emphasized </w:t>
      </w:r>
      <w:proofErr w:type="spellStart"/>
      <w:r w:rsidRPr="001E0618">
        <w:rPr>
          <w:rFonts w:ascii="Arial" w:eastAsia="Times New Roman" w:hAnsi="Arial" w:cs="Arial"/>
          <w:b/>
          <w:bCs/>
          <w:color w:val="000000"/>
          <w:sz w:val="27"/>
          <w:szCs w:val="27"/>
          <w:lang w:eastAsia="en-GB"/>
        </w:rPr>
        <w:t>Faris</w:t>
      </w:r>
      <w:proofErr w:type="spellEnd"/>
      <w:r w:rsidRPr="001E0618">
        <w:rPr>
          <w:rFonts w:ascii="Arial" w:eastAsia="Times New Roman" w:hAnsi="Arial" w:cs="Arial"/>
          <w:b/>
          <w:bCs/>
          <w:color w:val="000000"/>
          <w:sz w:val="27"/>
          <w:szCs w:val="27"/>
          <w:lang w:eastAsia="en-GB"/>
        </w:rPr>
        <w:t xml:space="preserve"> </w:t>
      </w:r>
      <w:proofErr w:type="spellStart"/>
      <w:r w:rsidRPr="001E0618">
        <w:rPr>
          <w:rFonts w:ascii="Arial" w:eastAsia="Times New Roman" w:hAnsi="Arial" w:cs="Arial"/>
          <w:b/>
          <w:bCs/>
          <w:color w:val="000000"/>
          <w:sz w:val="27"/>
          <w:szCs w:val="27"/>
          <w:lang w:eastAsia="en-GB"/>
        </w:rPr>
        <w:t>Hadad-Zervos</w:t>
      </w:r>
      <w:proofErr w:type="spellEnd"/>
      <w:r w:rsidRPr="001E0618">
        <w:rPr>
          <w:rFonts w:ascii="Arial" w:eastAsia="Times New Roman" w:hAnsi="Arial" w:cs="Arial"/>
          <w:b/>
          <w:bCs/>
          <w:color w:val="000000"/>
          <w:sz w:val="27"/>
          <w:szCs w:val="27"/>
          <w:lang w:eastAsia="en-GB"/>
        </w:rPr>
        <w:t>, World Bank Country Director for Maldives, Nepal and Sri Lanka</w:t>
      </w:r>
      <w:r w:rsidRPr="001E0618">
        <w:rPr>
          <w:rFonts w:ascii="Arial" w:eastAsia="Times New Roman" w:hAnsi="Arial" w:cs="Arial"/>
          <w:i/>
          <w:iCs/>
          <w:color w:val="000000"/>
          <w:sz w:val="27"/>
          <w:szCs w:val="27"/>
          <w:lang w:eastAsia="en-GB"/>
        </w:rPr>
        <w:t>.</w:t>
      </w:r>
      <w:r w:rsidRPr="001E0618">
        <w:rPr>
          <w:rFonts w:ascii="Arial" w:eastAsia="Times New Roman" w:hAnsi="Arial" w:cs="Arial"/>
          <w:color w:val="000000"/>
          <w:sz w:val="27"/>
          <w:szCs w:val="27"/>
          <w:lang w:eastAsia="en-GB"/>
        </w:rPr>
        <w:t> </w:t>
      </w:r>
      <w:r w:rsidRPr="001E0618">
        <w:rPr>
          <w:rFonts w:ascii="Arial" w:eastAsia="Times New Roman" w:hAnsi="Arial" w:cs="Arial"/>
          <w:i/>
          <w:iCs/>
          <w:color w:val="000000"/>
          <w:sz w:val="27"/>
          <w:szCs w:val="27"/>
          <w:lang w:eastAsia="en-GB"/>
        </w:rPr>
        <w:t>“This involves a two-pronged strategy: first, to maintain reforms that contribute to macroeconomic stability and second, to accelerate reforms to stimulate private investment and capital inflows, which are crucial for economic growth and poverty reduction.”</w:t>
      </w:r>
    </w:p>
    <w:p w:rsidR="001E0618" w:rsidRPr="001E0618" w:rsidRDefault="001E0618" w:rsidP="001E0618">
      <w:pPr>
        <w:shd w:val="clear" w:color="auto" w:fill="FFFFFF"/>
        <w:spacing w:before="100" w:beforeAutospacing="1" w:after="240" w:line="240" w:lineRule="auto"/>
        <w:rPr>
          <w:rFonts w:ascii="Arial" w:eastAsia="Times New Roman" w:hAnsi="Arial" w:cs="Arial"/>
          <w:sz w:val="24"/>
          <w:szCs w:val="24"/>
          <w:lang w:eastAsia="en-GB"/>
        </w:rPr>
      </w:pPr>
      <w:r w:rsidRPr="001E0618">
        <w:rPr>
          <w:rFonts w:ascii="Arial" w:eastAsia="Times New Roman" w:hAnsi="Arial" w:cs="Arial"/>
          <w:color w:val="000000"/>
          <w:sz w:val="27"/>
          <w:szCs w:val="27"/>
          <w:lang w:eastAsia="en-GB"/>
        </w:rPr>
        <w:t xml:space="preserve">Looking forward, the report projects a modest pickup in growth of 2.5% in 2025, with a gradual increase in inflation and a small current account surplus. However, high debt service obligations are expected to exert pressure on fiscal balances. Poverty rates are anticipated to remain above 22% until 2026. Risks to the outlook remain, particularly related to inadequate debt restructuring, reversal of reforms, financial sector vulnerabilities, and the enduring impact of the crisis. The report emphasizes that strong reform implementation will be fundamental to fostering a resilient economy through continued macro-fiscal-financial </w:t>
      </w:r>
      <w:r w:rsidRPr="001E0618">
        <w:rPr>
          <w:rFonts w:ascii="Arial" w:eastAsia="Times New Roman" w:hAnsi="Arial" w:cs="Arial"/>
          <w:color w:val="000000"/>
          <w:sz w:val="27"/>
          <w:szCs w:val="27"/>
          <w:lang w:eastAsia="en-GB"/>
        </w:rPr>
        <w:lastRenderedPageBreak/>
        <w:t>stability, greater private sector investment, and addressing risks associated with state-owned enterprises.</w:t>
      </w:r>
    </w:p>
    <w:p w:rsidR="001E0618" w:rsidRPr="001E0618" w:rsidRDefault="001E0618" w:rsidP="001E0618">
      <w:pPr>
        <w:shd w:val="clear" w:color="auto" w:fill="FFFFFF"/>
        <w:spacing w:before="100" w:beforeAutospacing="1" w:after="240" w:line="240" w:lineRule="auto"/>
        <w:rPr>
          <w:rFonts w:ascii="Arial" w:eastAsia="Times New Roman" w:hAnsi="Arial" w:cs="Arial"/>
          <w:sz w:val="24"/>
          <w:szCs w:val="24"/>
          <w:lang w:eastAsia="en-GB"/>
        </w:rPr>
      </w:pPr>
      <w:hyperlink r:id="rId5" w:tgtFrame="_blank" w:history="1">
        <w:r w:rsidRPr="001E0618">
          <w:rPr>
            <w:rFonts w:ascii="Arial" w:eastAsia="Times New Roman" w:hAnsi="Arial" w:cs="Arial"/>
            <w:b/>
            <w:bCs/>
            <w:color w:val="0071BC"/>
            <w:sz w:val="27"/>
            <w:szCs w:val="27"/>
            <w:u w:val="single"/>
            <w:lang w:eastAsia="en-GB"/>
          </w:rPr>
          <w:t>The Sri Lanka Development Update</w:t>
        </w:r>
      </w:hyperlink>
      <w:r w:rsidRPr="001E0618">
        <w:rPr>
          <w:rFonts w:ascii="Arial" w:eastAsia="Times New Roman" w:hAnsi="Arial" w:cs="Arial"/>
          <w:color w:val="000000"/>
          <w:sz w:val="27"/>
          <w:szCs w:val="27"/>
          <w:lang w:eastAsia="en-GB"/>
        </w:rPr>
        <w:t> is a companion piece to the </w:t>
      </w:r>
      <w:hyperlink r:id="rId6" w:tgtFrame="_blank" w:history="1">
        <w:r w:rsidRPr="001E0618">
          <w:rPr>
            <w:rFonts w:ascii="Arial" w:eastAsia="Times New Roman" w:hAnsi="Arial" w:cs="Arial"/>
            <w:b/>
            <w:bCs/>
            <w:color w:val="0071BC"/>
            <w:sz w:val="27"/>
            <w:szCs w:val="27"/>
            <w:lang w:eastAsia="en-GB"/>
          </w:rPr>
          <w:t>South Asia Development Update</w:t>
        </w:r>
        <w:r w:rsidRPr="001E0618">
          <w:rPr>
            <w:rFonts w:ascii="Arial" w:eastAsia="Times New Roman" w:hAnsi="Arial" w:cs="Arial"/>
            <w:color w:val="0071BC"/>
            <w:sz w:val="27"/>
            <w:szCs w:val="27"/>
            <w:u w:val="single"/>
            <w:lang w:eastAsia="en-GB"/>
          </w:rPr>
          <w:t>,</w:t>
        </w:r>
      </w:hyperlink>
      <w:r w:rsidRPr="001E0618">
        <w:rPr>
          <w:rFonts w:ascii="Arial" w:eastAsia="Times New Roman" w:hAnsi="Arial" w:cs="Arial"/>
          <w:color w:val="000000"/>
          <w:sz w:val="27"/>
          <w:szCs w:val="27"/>
          <w:lang w:eastAsia="en-GB"/>
        </w:rPr>
        <w:t xml:space="preserve"> a twice-a-year World Bank report that examines economic developments and prospects in the South Asia region and </w:t>
      </w:r>
      <w:proofErr w:type="spellStart"/>
      <w:r w:rsidRPr="001E0618">
        <w:rPr>
          <w:rFonts w:ascii="Arial" w:eastAsia="Times New Roman" w:hAnsi="Arial" w:cs="Arial"/>
          <w:color w:val="000000"/>
          <w:sz w:val="27"/>
          <w:szCs w:val="27"/>
          <w:lang w:eastAsia="en-GB"/>
        </w:rPr>
        <w:t>analyzes</w:t>
      </w:r>
      <w:proofErr w:type="spellEnd"/>
      <w:r w:rsidRPr="001E0618">
        <w:rPr>
          <w:rFonts w:ascii="Arial" w:eastAsia="Times New Roman" w:hAnsi="Arial" w:cs="Arial"/>
          <w:color w:val="000000"/>
          <w:sz w:val="27"/>
          <w:szCs w:val="27"/>
          <w:lang w:eastAsia="en-GB"/>
        </w:rPr>
        <w:t xml:space="preserve"> policy challenges faced by countries. The April 2024 edition, </w:t>
      </w:r>
      <w:hyperlink r:id="rId7" w:tgtFrame="_blank" w:history="1">
        <w:r w:rsidRPr="001E0618">
          <w:rPr>
            <w:rFonts w:ascii="Arial" w:eastAsia="Times New Roman" w:hAnsi="Arial" w:cs="Arial"/>
            <w:b/>
            <w:bCs/>
            <w:i/>
            <w:iCs/>
            <w:color w:val="0071BC"/>
            <w:sz w:val="27"/>
            <w:szCs w:val="27"/>
            <w:u w:val="single"/>
            <w:lang w:eastAsia="en-GB"/>
          </w:rPr>
          <w:t>Jobs for Resilience</w:t>
        </w:r>
      </w:hyperlink>
      <w:r w:rsidRPr="001E0618">
        <w:rPr>
          <w:rFonts w:ascii="Arial" w:eastAsia="Times New Roman" w:hAnsi="Arial" w:cs="Arial"/>
          <w:b/>
          <w:bCs/>
          <w:i/>
          <w:iCs/>
          <w:color w:val="000000"/>
          <w:sz w:val="27"/>
          <w:szCs w:val="27"/>
          <w:lang w:eastAsia="en-GB"/>
        </w:rPr>
        <w:t>, </w:t>
      </w:r>
      <w:r w:rsidRPr="001E0618">
        <w:rPr>
          <w:rFonts w:ascii="Arial" w:eastAsia="Times New Roman" w:hAnsi="Arial" w:cs="Arial"/>
          <w:color w:val="000000"/>
          <w:sz w:val="27"/>
          <w:szCs w:val="27"/>
          <w:lang w:eastAsia="en-GB"/>
        </w:rPr>
        <w:t>projects South Asia to remain the fastest-growing region in the world, with growth projected to be 6.0% in 2024- driven mainly by robust growth in India and recoveries in Pakistan and Sri Lanka. But this strong outlook is deceptive, says the report. For most countries, growth is still below pre-pandemic levels and is reliant on public spending. At the same time, private investment growth has slowed sharply in all South Asian countries and the region is not creating enough jobs to keep pace with its rapidly increasing working-age population. The report recommends a range of policies to spur firm growth and boost employment as well as help lift growth and productivity and free up space for public investments in climate adaptation.</w:t>
      </w:r>
    </w:p>
    <w:p w:rsidR="001E0618" w:rsidRPr="001E0618" w:rsidRDefault="001E0618" w:rsidP="001E0618">
      <w:pPr>
        <w:shd w:val="clear" w:color="auto" w:fill="FFFFFF"/>
        <w:spacing w:after="0" w:line="240" w:lineRule="auto"/>
        <w:rPr>
          <w:rFonts w:ascii="Arial" w:eastAsia="Times New Roman" w:hAnsi="Arial" w:cs="Arial"/>
          <w:sz w:val="24"/>
          <w:szCs w:val="24"/>
          <w:lang w:eastAsia="en-GB"/>
        </w:rPr>
      </w:pPr>
    </w:p>
    <w:p w:rsidR="001E0618" w:rsidRPr="001E0618" w:rsidRDefault="001E0618" w:rsidP="001E0618">
      <w:pPr>
        <w:shd w:val="clear" w:color="auto" w:fill="FFFFFF"/>
        <w:spacing w:after="0" w:line="240" w:lineRule="auto"/>
        <w:rPr>
          <w:rFonts w:ascii="Arial" w:eastAsia="Times New Roman" w:hAnsi="Arial" w:cs="Arial"/>
          <w:sz w:val="24"/>
          <w:szCs w:val="24"/>
          <w:lang w:eastAsia="en-GB"/>
        </w:rPr>
      </w:pPr>
      <w:r w:rsidRPr="001E0618">
        <w:rPr>
          <w:rFonts w:ascii="Arial" w:eastAsia="Times New Roman" w:hAnsi="Arial" w:cs="Arial"/>
          <w:b/>
          <w:bCs/>
          <w:color w:val="000000"/>
          <w:sz w:val="27"/>
          <w:szCs w:val="27"/>
          <w:lang w:eastAsia="en-GB"/>
        </w:rPr>
        <w:t>Source:</w:t>
      </w:r>
      <w:r w:rsidRPr="001E0618">
        <w:rPr>
          <w:rFonts w:ascii="Arial" w:eastAsia="Times New Roman" w:hAnsi="Arial" w:cs="Arial"/>
          <w:color w:val="000000"/>
          <w:sz w:val="27"/>
          <w:szCs w:val="27"/>
          <w:lang w:eastAsia="en-GB"/>
        </w:rPr>
        <w:t> World Bank, Poverty &amp; Equity and Macroeconomics, Trade &amp; Investment Global Practices. Emissions data sourced from CAIT and OECD.</w:t>
      </w:r>
    </w:p>
    <w:p w:rsidR="001E0618" w:rsidRPr="001E0618" w:rsidRDefault="001E0618" w:rsidP="001E0618">
      <w:pPr>
        <w:shd w:val="clear" w:color="auto" w:fill="FFFFFF"/>
        <w:spacing w:after="0" w:line="240" w:lineRule="auto"/>
        <w:rPr>
          <w:rFonts w:ascii="Arial" w:eastAsia="Times New Roman" w:hAnsi="Arial" w:cs="Arial"/>
          <w:sz w:val="24"/>
          <w:szCs w:val="24"/>
          <w:lang w:eastAsia="en-GB"/>
        </w:rPr>
      </w:pPr>
      <w:r w:rsidRPr="001E0618">
        <w:rPr>
          <w:rFonts w:ascii="Arial" w:eastAsia="Times New Roman" w:hAnsi="Arial" w:cs="Arial"/>
          <w:b/>
          <w:bCs/>
          <w:color w:val="000000"/>
          <w:sz w:val="27"/>
          <w:szCs w:val="27"/>
          <w:lang w:eastAsia="en-GB"/>
        </w:rPr>
        <w:t>Notes:</w:t>
      </w:r>
      <w:r w:rsidRPr="001E0618">
        <w:rPr>
          <w:rFonts w:ascii="Arial" w:eastAsia="Times New Roman" w:hAnsi="Arial" w:cs="Arial"/>
          <w:color w:val="000000"/>
          <w:sz w:val="27"/>
          <w:szCs w:val="27"/>
          <w:lang w:eastAsia="en-GB"/>
        </w:rPr>
        <w:t> e = estimate, f = forecast.</w:t>
      </w:r>
    </w:p>
    <w:p w:rsidR="001E0618" w:rsidRPr="001E0618" w:rsidRDefault="001E0618" w:rsidP="001E0618">
      <w:pPr>
        <w:shd w:val="clear" w:color="auto" w:fill="FFFFFF"/>
        <w:spacing w:after="0" w:line="240" w:lineRule="auto"/>
        <w:rPr>
          <w:rFonts w:ascii="Arial" w:eastAsia="Times New Roman" w:hAnsi="Arial" w:cs="Arial"/>
          <w:sz w:val="24"/>
          <w:szCs w:val="24"/>
          <w:lang w:eastAsia="en-GB"/>
        </w:rPr>
      </w:pPr>
      <w:r w:rsidRPr="001E0618">
        <w:rPr>
          <w:rFonts w:ascii="Arial" w:eastAsia="Times New Roman" w:hAnsi="Arial" w:cs="Arial"/>
          <w:color w:val="000000"/>
          <w:sz w:val="27"/>
          <w:szCs w:val="27"/>
          <w:lang w:eastAsia="en-GB"/>
        </w:rPr>
        <w:t>(a)    Components of GDP by expenditure for 2020-2022 are estimates, as the data published on March 15, 2024, by authorities only included GDP by production.</w:t>
      </w:r>
    </w:p>
    <w:p w:rsidR="001E0618" w:rsidRPr="001E0618" w:rsidRDefault="001E0618" w:rsidP="001E0618">
      <w:pPr>
        <w:shd w:val="clear" w:color="auto" w:fill="FFFFFF"/>
        <w:spacing w:after="0" w:line="240" w:lineRule="auto"/>
        <w:rPr>
          <w:rFonts w:ascii="Arial" w:eastAsia="Times New Roman" w:hAnsi="Arial" w:cs="Arial"/>
          <w:sz w:val="24"/>
          <w:szCs w:val="24"/>
          <w:lang w:eastAsia="en-GB"/>
        </w:rPr>
      </w:pPr>
      <w:r w:rsidRPr="001E0618">
        <w:rPr>
          <w:rFonts w:ascii="Arial" w:eastAsia="Times New Roman" w:hAnsi="Arial" w:cs="Arial"/>
          <w:color w:val="000000"/>
          <w:sz w:val="27"/>
          <w:szCs w:val="27"/>
          <w:lang w:eastAsia="en-GB"/>
        </w:rPr>
        <w:t xml:space="preserve">(b)    Calculations based on SAR-POV harmonization, using 2019-HIES. Actual data: 2019. Microsimulation that models sectoral GDP growth rates, inflation, remittances, employment, and cash transfers 2020-2022. </w:t>
      </w:r>
      <w:proofErr w:type="spellStart"/>
      <w:r w:rsidRPr="001E0618">
        <w:rPr>
          <w:rFonts w:ascii="Arial" w:eastAsia="Times New Roman" w:hAnsi="Arial" w:cs="Arial"/>
          <w:color w:val="000000"/>
          <w:sz w:val="27"/>
          <w:szCs w:val="27"/>
          <w:lang w:eastAsia="en-GB"/>
        </w:rPr>
        <w:t>Nowcast</w:t>
      </w:r>
      <w:proofErr w:type="spellEnd"/>
      <w:r w:rsidRPr="001E0618">
        <w:rPr>
          <w:rFonts w:ascii="Arial" w:eastAsia="Times New Roman" w:hAnsi="Arial" w:cs="Arial"/>
          <w:color w:val="000000"/>
          <w:sz w:val="27"/>
          <w:szCs w:val="27"/>
          <w:lang w:eastAsia="en-GB"/>
        </w:rPr>
        <w:t xml:space="preserve"> and forecast (2023-2026) use nominal GDP growth rates by sector and CPI inflation.</w:t>
      </w:r>
    </w:p>
    <w:p w:rsidR="0022365D" w:rsidRDefault="0022365D"/>
    <w:sectPr w:rsidR="00223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618"/>
    <w:rsid w:val="001E0618"/>
    <w:rsid w:val="0022365D"/>
    <w:rsid w:val="00471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26646-2D39-47BE-9B86-7624C05B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E061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06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0618"/>
    <w:rPr>
      <w:b/>
      <w:bCs/>
    </w:rPr>
  </w:style>
  <w:style w:type="character" w:styleId="Hyperlink">
    <w:name w:val="Hyperlink"/>
    <w:basedOn w:val="DefaultParagraphFont"/>
    <w:uiPriority w:val="99"/>
    <w:semiHidden/>
    <w:unhideWhenUsed/>
    <w:rsid w:val="001E0618"/>
    <w:rPr>
      <w:color w:val="0000FF"/>
      <w:u w:val="single"/>
    </w:rPr>
  </w:style>
  <w:style w:type="character" w:customStyle="1" w:styleId="m7986337312714980303lpnoteparagraph">
    <w:name w:val="m_7986337312714980303lpnoteparagraph"/>
    <w:basedOn w:val="DefaultParagraphFont"/>
    <w:rsid w:val="001E0618"/>
  </w:style>
  <w:style w:type="character" w:customStyle="1" w:styleId="Heading3Char">
    <w:name w:val="Heading 3 Char"/>
    <w:basedOn w:val="DefaultParagraphFont"/>
    <w:link w:val="Heading3"/>
    <w:uiPriority w:val="9"/>
    <w:rsid w:val="001E0618"/>
    <w:rPr>
      <w:rFonts w:ascii="Times New Roman" w:eastAsia="Times New Roman" w:hAnsi="Times New Roman" w:cs="Times New Roman"/>
      <w:b/>
      <w:bCs/>
      <w:sz w:val="27"/>
      <w:szCs w:val="27"/>
      <w:lang w:eastAsia="en-GB"/>
    </w:rPr>
  </w:style>
  <w:style w:type="character" w:customStyle="1" w:styleId="jqtitle">
    <w:name w:val="jq_title"/>
    <w:basedOn w:val="DefaultParagraphFont"/>
    <w:rsid w:val="001E0618"/>
  </w:style>
  <w:style w:type="character" w:customStyle="1" w:styleId="jqwordlist">
    <w:name w:val="jq_wordlist"/>
    <w:basedOn w:val="DefaultParagraphFont"/>
    <w:rsid w:val="001E0618"/>
  </w:style>
  <w:style w:type="character" w:customStyle="1" w:styleId="separator">
    <w:name w:val="separator"/>
    <w:basedOn w:val="DefaultParagraphFont"/>
    <w:rsid w:val="001E0618"/>
  </w:style>
  <w:style w:type="character" w:customStyle="1" w:styleId="doclinks">
    <w:name w:val="doclinks"/>
    <w:basedOn w:val="DefaultParagraphFont"/>
    <w:rsid w:val="001E0618"/>
  </w:style>
  <w:style w:type="character" w:customStyle="1" w:styleId="associated">
    <w:name w:val="associated"/>
    <w:basedOn w:val="DefaultParagraphFont"/>
    <w:rsid w:val="001E0618"/>
  </w:style>
  <w:style w:type="character" w:customStyle="1" w:styleId="icon">
    <w:name w:val="icon"/>
    <w:basedOn w:val="DefaultParagraphFont"/>
    <w:rsid w:val="001E0618"/>
  </w:style>
  <w:style w:type="paragraph" w:customStyle="1" w:styleId="header">
    <w:name w:val="header"/>
    <w:basedOn w:val="Normal"/>
    <w:rsid w:val="001E06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y">
    <w:name w:val="city"/>
    <w:basedOn w:val="DefaultParagraphFont"/>
    <w:rsid w:val="001E0618"/>
  </w:style>
  <w:style w:type="character" w:customStyle="1" w:styleId="country">
    <w:name w:val="country"/>
    <w:basedOn w:val="DefaultParagraphFont"/>
    <w:rsid w:val="001E0618"/>
  </w:style>
  <w:style w:type="character" w:customStyle="1" w:styleId="sep">
    <w:name w:val="sep"/>
    <w:basedOn w:val="DefaultParagraphFont"/>
    <w:rsid w:val="001E0618"/>
  </w:style>
  <w:style w:type="character" w:customStyle="1" w:styleId="provider">
    <w:name w:val="provider"/>
    <w:basedOn w:val="DefaultParagraphFont"/>
    <w:rsid w:val="001E0618"/>
  </w:style>
  <w:style w:type="character" w:customStyle="1" w:styleId="date">
    <w:name w:val="date"/>
    <w:basedOn w:val="DefaultParagraphFont"/>
    <w:rsid w:val="001E0618"/>
  </w:style>
  <w:style w:type="character" w:customStyle="1" w:styleId="wordcount">
    <w:name w:val="wordcount"/>
    <w:basedOn w:val="DefaultParagraphFont"/>
    <w:rsid w:val="001E0618"/>
  </w:style>
  <w:style w:type="paragraph" w:customStyle="1" w:styleId="copyright">
    <w:name w:val="copyright"/>
    <w:basedOn w:val="Normal"/>
    <w:rsid w:val="001E061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36521">
      <w:bodyDiv w:val="1"/>
      <w:marLeft w:val="0"/>
      <w:marRight w:val="0"/>
      <w:marTop w:val="0"/>
      <w:marBottom w:val="0"/>
      <w:divBdr>
        <w:top w:val="none" w:sz="0" w:space="0" w:color="auto"/>
        <w:left w:val="none" w:sz="0" w:space="0" w:color="auto"/>
        <w:bottom w:val="none" w:sz="0" w:space="0" w:color="auto"/>
        <w:right w:val="none" w:sz="0" w:space="0" w:color="auto"/>
      </w:divBdr>
    </w:div>
    <w:div w:id="1133596109">
      <w:bodyDiv w:val="1"/>
      <w:marLeft w:val="0"/>
      <w:marRight w:val="0"/>
      <w:marTop w:val="0"/>
      <w:marBottom w:val="0"/>
      <w:divBdr>
        <w:top w:val="none" w:sz="0" w:space="0" w:color="auto"/>
        <w:left w:val="none" w:sz="0" w:space="0" w:color="auto"/>
        <w:bottom w:val="none" w:sz="0" w:space="0" w:color="auto"/>
        <w:right w:val="none" w:sz="0" w:space="0" w:color="auto"/>
      </w:divBdr>
      <w:divsChild>
        <w:div w:id="63727298">
          <w:marLeft w:val="0"/>
          <w:marRight w:val="0"/>
          <w:marTop w:val="0"/>
          <w:marBottom w:val="75"/>
          <w:divBdr>
            <w:top w:val="none" w:sz="0" w:space="0" w:color="auto"/>
            <w:left w:val="none" w:sz="0" w:space="0" w:color="auto"/>
            <w:bottom w:val="none" w:sz="0" w:space="0" w:color="auto"/>
            <w:right w:val="none" w:sz="0" w:space="0" w:color="auto"/>
          </w:divBdr>
        </w:div>
        <w:div w:id="310599521">
          <w:marLeft w:val="0"/>
          <w:marRight w:val="0"/>
          <w:marTop w:val="0"/>
          <w:marBottom w:val="0"/>
          <w:divBdr>
            <w:top w:val="none" w:sz="0" w:space="0" w:color="auto"/>
            <w:left w:val="none" w:sz="0" w:space="0" w:color="auto"/>
            <w:bottom w:val="none" w:sz="0" w:space="0" w:color="auto"/>
            <w:right w:val="none" w:sz="0" w:space="0" w:color="auto"/>
          </w:divBdr>
          <w:divsChild>
            <w:div w:id="9698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penknowledge.worldbank.org/entities/publication/6b5182fb-8d37-4384-af28-16feb55a3b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knowledge.worldbank.org/entities/publication/6b5182fb-8d37-4384-af28-16feb55a3b31" TargetMode="External"/><Relationship Id="rId5" Type="http://schemas.openxmlformats.org/officeDocument/2006/relationships/hyperlink" Target="https://openknowledge.worldbank.org/entities/publication/3858ec79-f468-4dce-8f86-2c1e6fb3c677" TargetMode="External"/><Relationship Id="rId4" Type="http://schemas.openxmlformats.org/officeDocument/2006/relationships/hyperlink" Target="https://openknowledge.worldbank.org/entities/publication/3858ec79-f468-4dce-8f86-2c1e6fb3c67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2024-04-02T16:15:00Z</dcterms:created>
  <dcterms:modified xsi:type="dcterms:W3CDTF">2024-04-02T16:28:00Z</dcterms:modified>
</cp:coreProperties>
</file>