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761B2" w14:textId="77777777" w:rsidR="00F63555" w:rsidRDefault="00BA55FC" w:rsidP="00F63555">
      <w:pPr>
        <w:pStyle w:val="Heading1"/>
        <w:jc w:val="center"/>
        <w:rPr>
          <w:sz w:val="28"/>
          <w:szCs w:val="28"/>
        </w:rPr>
      </w:pPr>
      <w:bookmarkStart w:id="0" w:name="_GoBack"/>
      <w:bookmarkEnd w:id="0"/>
      <w:r w:rsidRPr="2D4FB894">
        <w:rPr>
          <w:i/>
          <w:iCs/>
          <w:noProof/>
          <w:sz w:val="28"/>
          <w:szCs w:val="28"/>
        </w:rPr>
        <w:t>Women, Business and the Law</w:t>
      </w:r>
      <w:r w:rsidR="008E1E8F">
        <w:rPr>
          <w:i/>
          <w:iCs/>
          <w:noProof/>
          <w:sz w:val="28"/>
          <w:szCs w:val="28"/>
        </w:rPr>
        <w:t xml:space="preserve"> (WBL)</w:t>
      </w:r>
      <w:r w:rsidRPr="2D4FB894">
        <w:rPr>
          <w:sz w:val="28"/>
          <w:szCs w:val="28"/>
        </w:rPr>
        <w:t xml:space="preserve"> </w:t>
      </w:r>
      <w:r w:rsidR="00B53EE5" w:rsidRPr="2D4FB894">
        <w:rPr>
          <w:sz w:val="28"/>
          <w:szCs w:val="28"/>
        </w:rPr>
        <w:t>202</w:t>
      </w:r>
      <w:r w:rsidR="00425E54" w:rsidRPr="2D4FB894">
        <w:rPr>
          <w:sz w:val="28"/>
          <w:szCs w:val="28"/>
        </w:rPr>
        <w:t xml:space="preserve">4 </w:t>
      </w:r>
    </w:p>
    <w:p w14:paraId="558B7248" w14:textId="77777777" w:rsidR="00F63555" w:rsidRDefault="00F63555" w:rsidP="00F63555">
      <w:pPr>
        <w:pStyle w:val="ListParagraph"/>
        <w:ind w:left="360"/>
        <w:jc w:val="both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</w:p>
    <w:p w14:paraId="4898C45C" w14:textId="75A85C3C" w:rsidR="00F63555" w:rsidRDefault="006F3451" w:rsidP="00F63555">
      <w:pPr>
        <w:pStyle w:val="Heading2"/>
      </w:pPr>
      <w:r w:rsidRPr="006F3451">
        <w:rPr>
          <w:b/>
          <w:bCs/>
        </w:rPr>
        <w:t>South Asia</w:t>
      </w:r>
      <w:r w:rsidRPr="3D36E2AE">
        <w:rPr>
          <w:i/>
          <w:iCs/>
        </w:rPr>
        <w:t xml:space="preserve"> </w:t>
      </w:r>
      <w:r w:rsidR="00F63555" w:rsidRPr="3D36E2AE">
        <w:rPr>
          <w:i/>
          <w:iCs/>
        </w:rPr>
        <w:t>Women, Business and the Law</w:t>
      </w:r>
      <w:r w:rsidR="00F63555">
        <w:t xml:space="preserve"> indicator performance</w:t>
      </w:r>
    </w:p>
    <w:tbl>
      <w:tblPr>
        <w:tblStyle w:val="GridTable1Light"/>
        <w:tblW w:w="10450" w:type="dxa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833"/>
        <w:gridCol w:w="833"/>
        <w:gridCol w:w="864"/>
        <w:gridCol w:w="864"/>
        <w:gridCol w:w="864"/>
        <w:gridCol w:w="864"/>
        <w:gridCol w:w="975"/>
        <w:gridCol w:w="810"/>
        <w:gridCol w:w="900"/>
        <w:gridCol w:w="771"/>
        <w:gridCol w:w="864"/>
      </w:tblGrid>
      <w:tr w:rsidR="00F63555" w:rsidRPr="005A07CF" w14:paraId="46E1953D" w14:textId="77777777" w:rsidTr="00D92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27B1CC79" w14:textId="72A48718" w:rsidR="00F63555" w:rsidRPr="005A07CF" w:rsidRDefault="00F63555" w:rsidP="00D92715">
            <w:pPr>
              <w:rPr>
                <w:rFonts w:ascii="Calibri" w:eastAsia="Calibri" w:hAnsi="Calibri" w:cs="Calibri"/>
                <w:color w:val="344579"/>
                <w:sz w:val="15"/>
                <w:szCs w:val="15"/>
              </w:rPr>
            </w:pPr>
          </w:p>
        </w:tc>
        <w:tc>
          <w:tcPr>
            <w:tcW w:w="833" w:type="dxa"/>
          </w:tcPr>
          <w:p w14:paraId="6AFE09A2" w14:textId="77777777" w:rsidR="00F63555" w:rsidRPr="00CA2498" w:rsidRDefault="00F63555" w:rsidP="00D92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44579"/>
                <w:sz w:val="15"/>
                <w:szCs w:val="15"/>
              </w:rPr>
            </w:pPr>
            <w:r w:rsidRPr="3D36E2AE">
              <w:rPr>
                <w:rFonts w:ascii="Calibri" w:eastAsia="Calibri" w:hAnsi="Calibri" w:cs="Calibri"/>
                <w:color w:val="344579"/>
                <w:sz w:val="15"/>
                <w:szCs w:val="15"/>
              </w:rPr>
              <w:t>WBL INDEX</w:t>
            </w:r>
          </w:p>
        </w:tc>
        <w:tc>
          <w:tcPr>
            <w:tcW w:w="833" w:type="dxa"/>
          </w:tcPr>
          <w:p w14:paraId="2EC4773A" w14:textId="77777777" w:rsidR="00F63555" w:rsidRPr="005A07CF" w:rsidRDefault="00F63555" w:rsidP="00D92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44579"/>
                <w:sz w:val="15"/>
                <w:szCs w:val="15"/>
              </w:rPr>
            </w:pPr>
            <w:r w:rsidRPr="3D36E2AE">
              <w:rPr>
                <w:rFonts w:ascii="Calibri" w:eastAsia="Calibri" w:hAnsi="Calibri" w:cs="Calibri"/>
                <w:color w:val="344579"/>
                <w:sz w:val="15"/>
                <w:szCs w:val="15"/>
              </w:rPr>
              <w:t>Safety</w:t>
            </w:r>
          </w:p>
        </w:tc>
        <w:tc>
          <w:tcPr>
            <w:tcW w:w="864" w:type="dxa"/>
          </w:tcPr>
          <w:p w14:paraId="421EAAC9" w14:textId="77777777" w:rsidR="00F63555" w:rsidRPr="005A07CF" w:rsidRDefault="00F63555" w:rsidP="00D92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44579"/>
                <w:sz w:val="15"/>
                <w:szCs w:val="15"/>
              </w:rPr>
            </w:pPr>
            <w:r w:rsidRPr="3D36E2AE">
              <w:rPr>
                <w:rFonts w:ascii="Calibri" w:eastAsia="Calibri" w:hAnsi="Calibri" w:cs="Calibri"/>
                <w:color w:val="344579"/>
                <w:sz w:val="15"/>
                <w:szCs w:val="15"/>
              </w:rPr>
              <w:t>Mobility</w:t>
            </w:r>
          </w:p>
        </w:tc>
        <w:tc>
          <w:tcPr>
            <w:tcW w:w="864" w:type="dxa"/>
          </w:tcPr>
          <w:p w14:paraId="2D8ABC22" w14:textId="77777777" w:rsidR="00F63555" w:rsidRPr="005A07CF" w:rsidRDefault="00F63555" w:rsidP="00D92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44579"/>
                <w:sz w:val="15"/>
                <w:szCs w:val="15"/>
              </w:rPr>
            </w:pPr>
            <w:r w:rsidRPr="3D36E2AE">
              <w:rPr>
                <w:rFonts w:ascii="Calibri" w:eastAsia="Calibri" w:hAnsi="Calibri" w:cs="Calibri"/>
                <w:color w:val="344579"/>
                <w:sz w:val="15"/>
                <w:szCs w:val="15"/>
              </w:rPr>
              <w:t>Workplace</w:t>
            </w:r>
          </w:p>
        </w:tc>
        <w:tc>
          <w:tcPr>
            <w:tcW w:w="864" w:type="dxa"/>
          </w:tcPr>
          <w:p w14:paraId="3E603965" w14:textId="77777777" w:rsidR="00F63555" w:rsidRPr="005A07CF" w:rsidRDefault="00F63555" w:rsidP="00D92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44579"/>
                <w:sz w:val="15"/>
                <w:szCs w:val="15"/>
              </w:rPr>
            </w:pPr>
            <w:r w:rsidRPr="3D36E2AE">
              <w:rPr>
                <w:rFonts w:ascii="Calibri" w:eastAsia="Calibri" w:hAnsi="Calibri" w:cs="Calibri"/>
                <w:color w:val="344579"/>
                <w:sz w:val="15"/>
                <w:szCs w:val="15"/>
              </w:rPr>
              <w:t>Pay</w:t>
            </w:r>
          </w:p>
        </w:tc>
        <w:tc>
          <w:tcPr>
            <w:tcW w:w="864" w:type="dxa"/>
          </w:tcPr>
          <w:p w14:paraId="0C86B7C1" w14:textId="77777777" w:rsidR="00F63555" w:rsidRPr="005A07CF" w:rsidRDefault="00F63555" w:rsidP="00D92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44579"/>
                <w:sz w:val="15"/>
                <w:szCs w:val="15"/>
              </w:rPr>
            </w:pPr>
            <w:r w:rsidRPr="3D36E2AE">
              <w:rPr>
                <w:rFonts w:ascii="Calibri" w:eastAsia="Calibri" w:hAnsi="Calibri" w:cs="Calibri"/>
                <w:color w:val="344579"/>
                <w:sz w:val="15"/>
                <w:szCs w:val="15"/>
              </w:rPr>
              <w:t>Marriage</w:t>
            </w:r>
          </w:p>
        </w:tc>
        <w:tc>
          <w:tcPr>
            <w:tcW w:w="975" w:type="dxa"/>
          </w:tcPr>
          <w:p w14:paraId="27441559" w14:textId="77777777" w:rsidR="00F63555" w:rsidRPr="005A07CF" w:rsidRDefault="00F63555" w:rsidP="00D92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44579"/>
                <w:sz w:val="15"/>
                <w:szCs w:val="15"/>
              </w:rPr>
            </w:pPr>
            <w:r w:rsidRPr="3D36E2AE">
              <w:rPr>
                <w:rFonts w:ascii="Calibri" w:eastAsia="Calibri" w:hAnsi="Calibri" w:cs="Calibri"/>
                <w:color w:val="344579"/>
                <w:sz w:val="15"/>
                <w:szCs w:val="15"/>
              </w:rPr>
              <w:t>Parenthood</w:t>
            </w:r>
          </w:p>
        </w:tc>
        <w:tc>
          <w:tcPr>
            <w:tcW w:w="810" w:type="dxa"/>
          </w:tcPr>
          <w:p w14:paraId="79F3AD94" w14:textId="77777777" w:rsidR="00F63555" w:rsidRPr="005A07CF" w:rsidRDefault="00F63555" w:rsidP="00D92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44579"/>
                <w:sz w:val="15"/>
                <w:szCs w:val="15"/>
              </w:rPr>
            </w:pPr>
            <w:r w:rsidRPr="3D36E2AE">
              <w:rPr>
                <w:rFonts w:ascii="Calibri" w:eastAsia="Calibri" w:hAnsi="Calibri" w:cs="Calibri"/>
                <w:color w:val="344579"/>
                <w:sz w:val="15"/>
                <w:szCs w:val="15"/>
              </w:rPr>
              <w:t>Childcare</w:t>
            </w:r>
          </w:p>
        </w:tc>
        <w:tc>
          <w:tcPr>
            <w:tcW w:w="900" w:type="dxa"/>
          </w:tcPr>
          <w:p w14:paraId="1456F417" w14:textId="77777777" w:rsidR="00F63555" w:rsidRPr="005A07CF" w:rsidRDefault="00F63555" w:rsidP="00D92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44579"/>
                <w:sz w:val="15"/>
                <w:szCs w:val="15"/>
              </w:rPr>
            </w:pPr>
            <w:proofErr w:type="spellStart"/>
            <w:r w:rsidRPr="3D36E2AE">
              <w:rPr>
                <w:rFonts w:ascii="Calibri" w:eastAsia="Calibri" w:hAnsi="Calibri" w:cs="Calibri"/>
                <w:color w:val="344579"/>
                <w:sz w:val="15"/>
                <w:szCs w:val="15"/>
              </w:rPr>
              <w:t>Entrepren</w:t>
            </w:r>
            <w:proofErr w:type="spellEnd"/>
            <w:r w:rsidRPr="3D36E2AE">
              <w:rPr>
                <w:rFonts w:ascii="Calibri" w:eastAsia="Calibri" w:hAnsi="Calibri" w:cs="Calibri"/>
                <w:color w:val="344579"/>
                <w:sz w:val="15"/>
                <w:szCs w:val="15"/>
              </w:rPr>
              <w:t xml:space="preserve">- </w:t>
            </w:r>
            <w:proofErr w:type="spellStart"/>
            <w:r w:rsidRPr="3D36E2AE">
              <w:rPr>
                <w:rFonts w:ascii="Calibri" w:eastAsia="Calibri" w:hAnsi="Calibri" w:cs="Calibri"/>
                <w:color w:val="344579"/>
                <w:sz w:val="15"/>
                <w:szCs w:val="15"/>
              </w:rPr>
              <w:t>eurship</w:t>
            </w:r>
            <w:proofErr w:type="spellEnd"/>
          </w:p>
        </w:tc>
        <w:tc>
          <w:tcPr>
            <w:tcW w:w="771" w:type="dxa"/>
          </w:tcPr>
          <w:p w14:paraId="66DECA6E" w14:textId="77777777" w:rsidR="00F63555" w:rsidRPr="005A07CF" w:rsidRDefault="00F63555" w:rsidP="00D92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44579"/>
                <w:sz w:val="15"/>
                <w:szCs w:val="15"/>
              </w:rPr>
            </w:pPr>
            <w:r w:rsidRPr="3D36E2AE">
              <w:rPr>
                <w:rFonts w:ascii="Calibri" w:eastAsia="Calibri" w:hAnsi="Calibri" w:cs="Calibri"/>
                <w:color w:val="344579"/>
                <w:sz w:val="15"/>
                <w:szCs w:val="15"/>
              </w:rPr>
              <w:t>Assets</w:t>
            </w:r>
          </w:p>
        </w:tc>
        <w:tc>
          <w:tcPr>
            <w:tcW w:w="864" w:type="dxa"/>
          </w:tcPr>
          <w:p w14:paraId="0C08C105" w14:textId="77777777" w:rsidR="00F63555" w:rsidRPr="005A07CF" w:rsidRDefault="00F63555" w:rsidP="00D92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44579"/>
                <w:sz w:val="15"/>
                <w:szCs w:val="15"/>
              </w:rPr>
            </w:pPr>
            <w:r w:rsidRPr="3D36E2AE">
              <w:rPr>
                <w:rFonts w:ascii="Calibri" w:eastAsia="Calibri" w:hAnsi="Calibri" w:cs="Calibri"/>
                <w:color w:val="344579"/>
                <w:sz w:val="15"/>
                <w:szCs w:val="15"/>
              </w:rPr>
              <w:t>Pension</w:t>
            </w:r>
          </w:p>
        </w:tc>
      </w:tr>
      <w:tr w:rsidR="00F63555" w:rsidRPr="005A07CF" w14:paraId="02C50516" w14:textId="77777777" w:rsidTr="00D927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57271662" w14:textId="77777777" w:rsidR="00F63555" w:rsidRPr="005A07CF" w:rsidRDefault="00F63555" w:rsidP="00D92715">
            <w:pPr>
              <w:spacing w:after="120"/>
              <w:rPr>
                <w:rFonts w:ascii="Calibri" w:eastAsia="Calibri" w:hAnsi="Calibri" w:cs="Calibri"/>
                <w:color w:val="344579"/>
                <w:sz w:val="15"/>
                <w:szCs w:val="15"/>
              </w:rPr>
            </w:pPr>
            <w:r w:rsidRPr="3D36E2AE">
              <w:rPr>
                <w:rFonts w:ascii="Calibri" w:eastAsia="Calibri" w:hAnsi="Calibri" w:cs="Calibri"/>
                <w:color w:val="344579"/>
                <w:sz w:val="15"/>
                <w:szCs w:val="15"/>
              </w:rPr>
              <w:t>Legal frameworks</w:t>
            </w:r>
          </w:p>
        </w:tc>
        <w:tc>
          <w:tcPr>
            <w:tcW w:w="833" w:type="dxa"/>
          </w:tcPr>
          <w:p w14:paraId="1192838C" w14:textId="77777777" w:rsidR="00F63555" w:rsidRPr="00033B85" w:rsidRDefault="00F63555" w:rsidP="00D9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344579"/>
                <w:sz w:val="18"/>
                <w:szCs w:val="18"/>
              </w:rPr>
            </w:pPr>
            <w:r w:rsidRPr="3D36E2AE">
              <w:rPr>
                <w:rFonts w:ascii="Calibri" w:eastAsia="Calibri" w:hAnsi="Calibri" w:cs="Calibri"/>
                <w:b/>
                <w:bCs/>
                <w:color w:val="344579"/>
                <w:sz w:val="18"/>
                <w:szCs w:val="18"/>
              </w:rPr>
              <w:t>45.9</w:t>
            </w:r>
          </w:p>
          <w:p w14:paraId="3CCD5273" w14:textId="77777777" w:rsidR="00F63555" w:rsidRPr="00033B85" w:rsidRDefault="00F63555" w:rsidP="00D9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344579"/>
                <w:sz w:val="18"/>
                <w:szCs w:val="18"/>
              </w:rPr>
            </w:pPr>
          </w:p>
        </w:tc>
        <w:tc>
          <w:tcPr>
            <w:tcW w:w="833" w:type="dxa"/>
          </w:tcPr>
          <w:p w14:paraId="2BE0CF49" w14:textId="77777777" w:rsidR="00F63555" w:rsidRPr="00033B85" w:rsidRDefault="00F63555" w:rsidP="00D9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344579"/>
                <w:sz w:val="18"/>
                <w:szCs w:val="18"/>
              </w:rPr>
            </w:pPr>
            <w:r w:rsidRPr="3D36E2AE">
              <w:rPr>
                <w:rFonts w:ascii="Calibri" w:eastAsia="Calibri" w:hAnsi="Calibri" w:cs="Calibri"/>
                <w:b/>
                <w:bCs/>
                <w:color w:val="344579"/>
                <w:sz w:val="18"/>
                <w:szCs w:val="18"/>
              </w:rPr>
              <w:t>34.4</w:t>
            </w:r>
          </w:p>
        </w:tc>
        <w:tc>
          <w:tcPr>
            <w:tcW w:w="864" w:type="dxa"/>
          </w:tcPr>
          <w:p w14:paraId="6A7CDE43" w14:textId="77777777" w:rsidR="00F63555" w:rsidRPr="00033B85" w:rsidRDefault="00F63555" w:rsidP="00D9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344579"/>
                <w:sz w:val="18"/>
                <w:szCs w:val="18"/>
              </w:rPr>
            </w:pPr>
            <w:r w:rsidRPr="3D36E2AE">
              <w:rPr>
                <w:rFonts w:ascii="Calibri" w:eastAsia="Calibri" w:hAnsi="Calibri" w:cs="Calibri"/>
                <w:b/>
                <w:bCs/>
                <w:color w:val="344579"/>
                <w:sz w:val="18"/>
                <w:szCs w:val="18"/>
              </w:rPr>
              <w:t>75.0</w:t>
            </w:r>
          </w:p>
        </w:tc>
        <w:tc>
          <w:tcPr>
            <w:tcW w:w="864" w:type="dxa"/>
          </w:tcPr>
          <w:p w14:paraId="536799C3" w14:textId="77777777" w:rsidR="00F63555" w:rsidRPr="00033B85" w:rsidRDefault="00F63555" w:rsidP="00D9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344579"/>
                <w:sz w:val="18"/>
                <w:szCs w:val="18"/>
              </w:rPr>
            </w:pPr>
            <w:r w:rsidRPr="3D36E2AE">
              <w:rPr>
                <w:rFonts w:ascii="Calibri" w:eastAsia="Calibri" w:hAnsi="Calibri" w:cs="Calibri"/>
                <w:b/>
                <w:bCs/>
                <w:color w:val="344579"/>
                <w:sz w:val="18"/>
                <w:szCs w:val="18"/>
              </w:rPr>
              <w:t>40.6</w:t>
            </w:r>
          </w:p>
        </w:tc>
        <w:tc>
          <w:tcPr>
            <w:tcW w:w="864" w:type="dxa"/>
          </w:tcPr>
          <w:p w14:paraId="4882BD7C" w14:textId="77777777" w:rsidR="00F63555" w:rsidRPr="00033B85" w:rsidRDefault="00F63555" w:rsidP="00D9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344579"/>
                <w:sz w:val="18"/>
                <w:szCs w:val="18"/>
              </w:rPr>
            </w:pPr>
            <w:r w:rsidRPr="3D36E2AE">
              <w:rPr>
                <w:rFonts w:ascii="Calibri" w:eastAsia="Calibri" w:hAnsi="Calibri" w:cs="Calibri"/>
                <w:b/>
                <w:bCs/>
                <w:color w:val="344579"/>
                <w:sz w:val="18"/>
                <w:szCs w:val="18"/>
              </w:rPr>
              <w:t>50.0</w:t>
            </w:r>
          </w:p>
        </w:tc>
        <w:tc>
          <w:tcPr>
            <w:tcW w:w="864" w:type="dxa"/>
          </w:tcPr>
          <w:p w14:paraId="5AAC0A3F" w14:textId="77777777" w:rsidR="00F63555" w:rsidRPr="00033B85" w:rsidRDefault="00F63555" w:rsidP="00D9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344579"/>
                <w:sz w:val="18"/>
                <w:szCs w:val="18"/>
              </w:rPr>
            </w:pPr>
            <w:r w:rsidRPr="3D36E2AE">
              <w:rPr>
                <w:rFonts w:ascii="Calibri" w:eastAsia="Calibri" w:hAnsi="Calibri" w:cs="Calibri"/>
                <w:b/>
                <w:bCs/>
                <w:color w:val="344579"/>
                <w:sz w:val="18"/>
                <w:szCs w:val="18"/>
              </w:rPr>
              <w:t>68.8</w:t>
            </w:r>
          </w:p>
        </w:tc>
        <w:tc>
          <w:tcPr>
            <w:tcW w:w="975" w:type="dxa"/>
          </w:tcPr>
          <w:p w14:paraId="151208AD" w14:textId="77777777" w:rsidR="00F63555" w:rsidRPr="00033B85" w:rsidRDefault="00F63555" w:rsidP="00D9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344579"/>
                <w:sz w:val="18"/>
                <w:szCs w:val="18"/>
              </w:rPr>
            </w:pPr>
            <w:r w:rsidRPr="3D36E2AE">
              <w:rPr>
                <w:rFonts w:ascii="Calibri" w:eastAsia="Calibri" w:hAnsi="Calibri" w:cs="Calibri"/>
                <w:b/>
                <w:bCs/>
                <w:color w:val="344579"/>
                <w:sz w:val="18"/>
                <w:szCs w:val="18"/>
              </w:rPr>
              <w:t>37.5</w:t>
            </w:r>
          </w:p>
        </w:tc>
        <w:tc>
          <w:tcPr>
            <w:tcW w:w="810" w:type="dxa"/>
          </w:tcPr>
          <w:p w14:paraId="6FE39D00" w14:textId="77777777" w:rsidR="00F63555" w:rsidRPr="00033B85" w:rsidRDefault="00F63555" w:rsidP="00D9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344579"/>
                <w:sz w:val="18"/>
                <w:szCs w:val="18"/>
              </w:rPr>
            </w:pPr>
            <w:r w:rsidRPr="3D36E2AE">
              <w:rPr>
                <w:rFonts w:ascii="Calibri" w:eastAsia="Calibri" w:hAnsi="Calibri" w:cs="Calibri"/>
                <w:b/>
                <w:bCs/>
                <w:color w:val="344579"/>
                <w:sz w:val="18"/>
                <w:szCs w:val="18"/>
              </w:rPr>
              <w:t>15.6</w:t>
            </w:r>
          </w:p>
        </w:tc>
        <w:tc>
          <w:tcPr>
            <w:tcW w:w="900" w:type="dxa"/>
          </w:tcPr>
          <w:p w14:paraId="0A0B0622" w14:textId="77777777" w:rsidR="00F63555" w:rsidRPr="00033B85" w:rsidRDefault="00F63555" w:rsidP="00D9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344579"/>
                <w:sz w:val="18"/>
                <w:szCs w:val="18"/>
              </w:rPr>
            </w:pPr>
            <w:r w:rsidRPr="3D36E2AE">
              <w:rPr>
                <w:rFonts w:ascii="Calibri" w:eastAsia="Calibri" w:hAnsi="Calibri" w:cs="Calibri"/>
                <w:b/>
                <w:bCs/>
                <w:color w:val="344579"/>
                <w:sz w:val="18"/>
                <w:szCs w:val="18"/>
              </w:rPr>
              <w:t>37.5</w:t>
            </w:r>
          </w:p>
        </w:tc>
        <w:tc>
          <w:tcPr>
            <w:tcW w:w="771" w:type="dxa"/>
          </w:tcPr>
          <w:p w14:paraId="63F70703" w14:textId="77777777" w:rsidR="00F63555" w:rsidRPr="00033B85" w:rsidRDefault="00F63555" w:rsidP="00D9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344579"/>
                <w:sz w:val="18"/>
                <w:szCs w:val="18"/>
              </w:rPr>
            </w:pPr>
            <w:r w:rsidRPr="3D36E2AE">
              <w:rPr>
                <w:rFonts w:ascii="Calibri" w:eastAsia="Calibri" w:hAnsi="Calibri" w:cs="Calibri"/>
                <w:b/>
                <w:bCs/>
                <w:color w:val="344579"/>
                <w:sz w:val="18"/>
                <w:szCs w:val="18"/>
              </w:rPr>
              <w:t>50.0</w:t>
            </w:r>
          </w:p>
        </w:tc>
        <w:tc>
          <w:tcPr>
            <w:tcW w:w="864" w:type="dxa"/>
          </w:tcPr>
          <w:p w14:paraId="16D4F4EE" w14:textId="77777777" w:rsidR="00F63555" w:rsidRPr="00033B85" w:rsidRDefault="00F63555" w:rsidP="00D9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344579"/>
                <w:sz w:val="18"/>
                <w:szCs w:val="18"/>
              </w:rPr>
            </w:pPr>
            <w:r w:rsidRPr="3D36E2AE">
              <w:rPr>
                <w:rFonts w:ascii="Calibri" w:eastAsia="Calibri" w:hAnsi="Calibri" w:cs="Calibri"/>
                <w:b/>
                <w:bCs/>
                <w:color w:val="344579"/>
                <w:sz w:val="18"/>
                <w:szCs w:val="18"/>
              </w:rPr>
              <w:t>50.0</w:t>
            </w:r>
          </w:p>
        </w:tc>
      </w:tr>
      <w:tr w:rsidR="00F63555" w:rsidRPr="005A07CF" w14:paraId="0D8A8A11" w14:textId="77777777" w:rsidTr="00D927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5B60E06D" w14:textId="77777777" w:rsidR="00F63555" w:rsidRPr="005A07CF" w:rsidRDefault="00F63555" w:rsidP="00D92715">
            <w:pPr>
              <w:spacing w:after="120"/>
              <w:rPr>
                <w:rFonts w:ascii="Calibri" w:eastAsia="Calibri" w:hAnsi="Calibri" w:cs="Calibri"/>
                <w:color w:val="344579"/>
                <w:sz w:val="15"/>
                <w:szCs w:val="15"/>
              </w:rPr>
            </w:pPr>
            <w:r w:rsidRPr="3D36E2AE">
              <w:rPr>
                <w:rFonts w:ascii="Calibri" w:eastAsia="Calibri" w:hAnsi="Calibri" w:cs="Calibri"/>
                <w:color w:val="344579"/>
                <w:sz w:val="15"/>
                <w:szCs w:val="15"/>
              </w:rPr>
              <w:t>Supportive frameworks</w:t>
            </w:r>
          </w:p>
        </w:tc>
        <w:tc>
          <w:tcPr>
            <w:tcW w:w="833" w:type="dxa"/>
          </w:tcPr>
          <w:p w14:paraId="2E8EA1B9" w14:textId="77777777" w:rsidR="00F63555" w:rsidRPr="00033B85" w:rsidRDefault="00F63555" w:rsidP="00D9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344579"/>
                <w:sz w:val="18"/>
                <w:szCs w:val="18"/>
              </w:rPr>
            </w:pPr>
            <w:r w:rsidRPr="3D36E2AE">
              <w:rPr>
                <w:rFonts w:ascii="Calibri" w:eastAsia="Calibri" w:hAnsi="Calibri" w:cs="Calibri"/>
                <w:b/>
                <w:bCs/>
                <w:color w:val="344579"/>
                <w:sz w:val="18"/>
                <w:szCs w:val="18"/>
              </w:rPr>
              <w:t>31.1</w:t>
            </w:r>
          </w:p>
        </w:tc>
        <w:tc>
          <w:tcPr>
            <w:tcW w:w="833" w:type="dxa"/>
          </w:tcPr>
          <w:p w14:paraId="30DF04CF" w14:textId="77777777" w:rsidR="00F63555" w:rsidRPr="00033B85" w:rsidRDefault="00F63555" w:rsidP="00D9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344579"/>
                <w:sz w:val="18"/>
                <w:szCs w:val="18"/>
              </w:rPr>
            </w:pPr>
            <w:r w:rsidRPr="3D36E2AE">
              <w:rPr>
                <w:rFonts w:ascii="Calibri" w:eastAsia="Calibri" w:hAnsi="Calibri" w:cs="Calibri"/>
                <w:b/>
                <w:bCs/>
                <w:color w:val="344579"/>
                <w:sz w:val="18"/>
                <w:szCs w:val="18"/>
              </w:rPr>
              <w:t>28.1</w:t>
            </w:r>
          </w:p>
        </w:tc>
        <w:tc>
          <w:tcPr>
            <w:tcW w:w="864" w:type="dxa"/>
          </w:tcPr>
          <w:p w14:paraId="76C8416D" w14:textId="77777777" w:rsidR="00F63555" w:rsidRPr="00033B85" w:rsidRDefault="00F63555" w:rsidP="00D9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344579"/>
                <w:sz w:val="18"/>
                <w:szCs w:val="18"/>
              </w:rPr>
            </w:pPr>
            <w:r w:rsidRPr="3D36E2AE">
              <w:rPr>
                <w:rFonts w:ascii="Calibri" w:eastAsia="Calibri" w:hAnsi="Calibri" w:cs="Calibri"/>
                <w:b/>
                <w:bCs/>
                <w:color w:val="344579"/>
                <w:sz w:val="18"/>
                <w:szCs w:val="18"/>
              </w:rPr>
              <w:t>66.7</w:t>
            </w:r>
          </w:p>
        </w:tc>
        <w:tc>
          <w:tcPr>
            <w:tcW w:w="864" w:type="dxa"/>
          </w:tcPr>
          <w:p w14:paraId="7B82F6B1" w14:textId="77777777" w:rsidR="00F63555" w:rsidRPr="00033B85" w:rsidRDefault="00F63555" w:rsidP="00D9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344579"/>
                <w:sz w:val="18"/>
                <w:szCs w:val="18"/>
              </w:rPr>
            </w:pPr>
            <w:r w:rsidRPr="3D36E2AE">
              <w:rPr>
                <w:rFonts w:ascii="Calibri" w:eastAsia="Calibri" w:hAnsi="Calibri" w:cs="Calibri"/>
                <w:b/>
                <w:bCs/>
                <w:color w:val="344579"/>
                <w:sz w:val="18"/>
                <w:szCs w:val="18"/>
              </w:rPr>
              <w:t>4.2</w:t>
            </w:r>
          </w:p>
        </w:tc>
        <w:tc>
          <w:tcPr>
            <w:tcW w:w="864" w:type="dxa"/>
          </w:tcPr>
          <w:p w14:paraId="6A3EED7E" w14:textId="77777777" w:rsidR="00F63555" w:rsidRPr="00033B85" w:rsidRDefault="00F63555" w:rsidP="00D9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344579"/>
                <w:sz w:val="18"/>
                <w:szCs w:val="18"/>
              </w:rPr>
            </w:pPr>
            <w:r w:rsidRPr="3D36E2AE">
              <w:rPr>
                <w:rFonts w:ascii="Calibri" w:eastAsia="Calibri" w:hAnsi="Calibri" w:cs="Calibri"/>
                <w:b/>
                <w:bCs/>
                <w:color w:val="344579"/>
                <w:sz w:val="18"/>
                <w:szCs w:val="18"/>
              </w:rPr>
              <w:t>25.0</w:t>
            </w:r>
          </w:p>
        </w:tc>
        <w:tc>
          <w:tcPr>
            <w:tcW w:w="864" w:type="dxa"/>
          </w:tcPr>
          <w:p w14:paraId="0B29EB18" w14:textId="77777777" w:rsidR="00F63555" w:rsidRPr="00033B85" w:rsidRDefault="00F63555" w:rsidP="00D9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344579"/>
                <w:sz w:val="18"/>
                <w:szCs w:val="18"/>
              </w:rPr>
            </w:pPr>
            <w:r w:rsidRPr="3D36E2AE">
              <w:rPr>
                <w:rFonts w:ascii="Calibri" w:eastAsia="Calibri" w:hAnsi="Calibri" w:cs="Calibri"/>
                <w:b/>
                <w:bCs/>
                <w:color w:val="344579"/>
                <w:sz w:val="18"/>
                <w:szCs w:val="18"/>
              </w:rPr>
              <w:t>62.5</w:t>
            </w:r>
          </w:p>
        </w:tc>
        <w:tc>
          <w:tcPr>
            <w:tcW w:w="975" w:type="dxa"/>
          </w:tcPr>
          <w:p w14:paraId="622CB5E8" w14:textId="77777777" w:rsidR="00F63555" w:rsidRPr="00033B85" w:rsidRDefault="00F63555" w:rsidP="00D9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344579"/>
                <w:sz w:val="18"/>
                <w:szCs w:val="18"/>
              </w:rPr>
            </w:pPr>
            <w:r w:rsidRPr="3D36E2AE">
              <w:rPr>
                <w:rFonts w:ascii="Calibri" w:eastAsia="Calibri" w:hAnsi="Calibri" w:cs="Calibri"/>
                <w:b/>
                <w:bCs/>
                <w:color w:val="344579"/>
                <w:sz w:val="18"/>
                <w:szCs w:val="18"/>
              </w:rPr>
              <w:t>20.8</w:t>
            </w:r>
          </w:p>
        </w:tc>
        <w:tc>
          <w:tcPr>
            <w:tcW w:w="810" w:type="dxa"/>
          </w:tcPr>
          <w:p w14:paraId="684B7C57" w14:textId="77777777" w:rsidR="00F63555" w:rsidRPr="00033B85" w:rsidRDefault="00F63555" w:rsidP="00D9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344579"/>
                <w:sz w:val="18"/>
                <w:szCs w:val="18"/>
              </w:rPr>
            </w:pPr>
            <w:r w:rsidRPr="3D36E2AE">
              <w:rPr>
                <w:rFonts w:ascii="Calibri" w:eastAsia="Calibri" w:hAnsi="Calibri" w:cs="Calibri"/>
                <w:b/>
                <w:bCs/>
                <w:color w:val="344579"/>
                <w:sz w:val="18"/>
                <w:szCs w:val="18"/>
              </w:rPr>
              <w:t>6.3</w:t>
            </w:r>
          </w:p>
        </w:tc>
        <w:tc>
          <w:tcPr>
            <w:tcW w:w="900" w:type="dxa"/>
          </w:tcPr>
          <w:p w14:paraId="32EE077F" w14:textId="77777777" w:rsidR="00F63555" w:rsidRPr="00033B85" w:rsidRDefault="00F63555" w:rsidP="00D9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344579"/>
                <w:sz w:val="18"/>
                <w:szCs w:val="18"/>
              </w:rPr>
            </w:pPr>
            <w:r w:rsidRPr="3D36E2AE">
              <w:rPr>
                <w:rFonts w:ascii="Calibri" w:eastAsia="Calibri" w:hAnsi="Calibri" w:cs="Calibri"/>
                <w:b/>
                <w:bCs/>
                <w:color w:val="344579"/>
                <w:sz w:val="18"/>
                <w:szCs w:val="18"/>
              </w:rPr>
              <w:t>50.0</w:t>
            </w:r>
          </w:p>
        </w:tc>
        <w:tc>
          <w:tcPr>
            <w:tcW w:w="771" w:type="dxa"/>
          </w:tcPr>
          <w:p w14:paraId="70A27092" w14:textId="77777777" w:rsidR="00F63555" w:rsidRPr="00033B85" w:rsidRDefault="00F63555" w:rsidP="00D9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344579"/>
                <w:sz w:val="18"/>
                <w:szCs w:val="18"/>
              </w:rPr>
            </w:pPr>
            <w:r w:rsidRPr="3D36E2AE">
              <w:rPr>
                <w:rFonts w:ascii="Calibri" w:eastAsia="Calibri" w:hAnsi="Calibri" w:cs="Calibri"/>
                <w:b/>
                <w:bCs/>
                <w:color w:val="344579"/>
                <w:sz w:val="18"/>
                <w:szCs w:val="18"/>
              </w:rPr>
              <w:t>16.7</w:t>
            </w:r>
          </w:p>
        </w:tc>
        <w:tc>
          <w:tcPr>
            <w:tcW w:w="864" w:type="dxa"/>
          </w:tcPr>
          <w:p w14:paraId="22C57E49" w14:textId="77777777" w:rsidR="00F63555" w:rsidRPr="00033B85" w:rsidRDefault="00F63555" w:rsidP="00D9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344579"/>
                <w:sz w:val="18"/>
                <w:szCs w:val="18"/>
              </w:rPr>
            </w:pPr>
            <w:r w:rsidRPr="3D36E2AE">
              <w:rPr>
                <w:rFonts w:ascii="Calibri" w:eastAsia="Calibri" w:hAnsi="Calibri" w:cs="Calibri"/>
                <w:b/>
                <w:bCs/>
                <w:color w:val="344579"/>
                <w:sz w:val="18"/>
                <w:szCs w:val="18"/>
              </w:rPr>
              <w:t>31.3</w:t>
            </w:r>
          </w:p>
        </w:tc>
      </w:tr>
    </w:tbl>
    <w:p w14:paraId="37F61C5D" w14:textId="77777777" w:rsidR="006F3451" w:rsidRDefault="006F3451" w:rsidP="006F3451">
      <w:pPr>
        <w:pStyle w:val="Heading2"/>
      </w:pPr>
    </w:p>
    <w:p w14:paraId="77AAE1CD" w14:textId="77777777" w:rsidR="006F3451" w:rsidRDefault="006F3451" w:rsidP="006F3451">
      <w:pPr>
        <w:pStyle w:val="Heading2"/>
      </w:pPr>
      <w:r w:rsidRPr="002F6F27">
        <w:rPr>
          <w:b/>
          <w:bCs/>
        </w:rPr>
        <w:t>Global</w:t>
      </w:r>
      <w:r w:rsidRPr="002F6F27">
        <w:rPr>
          <w:b/>
          <w:bCs/>
          <w:i/>
          <w:iCs/>
        </w:rPr>
        <w:t xml:space="preserve"> </w:t>
      </w:r>
      <w:r w:rsidRPr="72BF2A52">
        <w:rPr>
          <w:i/>
          <w:iCs/>
        </w:rPr>
        <w:t>Women, Business and the Law</w:t>
      </w:r>
      <w:r>
        <w:t xml:space="preserve"> indicator performance</w:t>
      </w:r>
    </w:p>
    <w:tbl>
      <w:tblPr>
        <w:tblStyle w:val="GridTable1Light"/>
        <w:tblW w:w="10450" w:type="dxa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833"/>
        <w:gridCol w:w="833"/>
        <w:gridCol w:w="864"/>
        <w:gridCol w:w="864"/>
        <w:gridCol w:w="864"/>
        <w:gridCol w:w="864"/>
        <w:gridCol w:w="975"/>
        <w:gridCol w:w="810"/>
        <w:gridCol w:w="900"/>
        <w:gridCol w:w="771"/>
        <w:gridCol w:w="864"/>
      </w:tblGrid>
      <w:tr w:rsidR="006F3451" w:rsidRPr="004513AE" w14:paraId="5D89142F" w14:textId="77777777" w:rsidTr="00D92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71A56809" w14:textId="77777777" w:rsidR="006F3451" w:rsidRPr="004513AE" w:rsidRDefault="006F3451" w:rsidP="00D92715">
            <w:pPr>
              <w:rPr>
                <w:rFonts w:ascii="Calibri" w:eastAsia="Calibri" w:hAnsi="Calibri" w:cs="Calibri"/>
                <w:color w:val="344579"/>
                <w:sz w:val="14"/>
                <w:szCs w:val="14"/>
              </w:rPr>
            </w:pPr>
          </w:p>
        </w:tc>
        <w:tc>
          <w:tcPr>
            <w:tcW w:w="833" w:type="dxa"/>
          </w:tcPr>
          <w:p w14:paraId="71951721" w14:textId="77777777" w:rsidR="006F3451" w:rsidRPr="004513AE" w:rsidRDefault="006F3451" w:rsidP="00D92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44579"/>
                <w:sz w:val="14"/>
                <w:szCs w:val="14"/>
              </w:rPr>
            </w:pPr>
            <w:r w:rsidRPr="004513AE">
              <w:rPr>
                <w:rFonts w:ascii="Calibri" w:eastAsia="Calibri" w:hAnsi="Calibri" w:cs="Calibri"/>
                <w:color w:val="344579"/>
                <w:sz w:val="14"/>
                <w:szCs w:val="14"/>
              </w:rPr>
              <w:t>WBL INDEX</w:t>
            </w:r>
          </w:p>
        </w:tc>
        <w:tc>
          <w:tcPr>
            <w:tcW w:w="833" w:type="dxa"/>
          </w:tcPr>
          <w:p w14:paraId="7FA5428C" w14:textId="77777777" w:rsidR="006F3451" w:rsidRPr="004513AE" w:rsidRDefault="006F3451" w:rsidP="00D92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44579"/>
                <w:sz w:val="14"/>
                <w:szCs w:val="14"/>
              </w:rPr>
            </w:pPr>
            <w:r w:rsidRPr="004513AE">
              <w:rPr>
                <w:rFonts w:ascii="Calibri" w:eastAsia="Calibri" w:hAnsi="Calibri" w:cs="Calibri"/>
                <w:color w:val="344579"/>
                <w:sz w:val="14"/>
                <w:szCs w:val="14"/>
              </w:rPr>
              <w:t>Safety</w:t>
            </w:r>
          </w:p>
        </w:tc>
        <w:tc>
          <w:tcPr>
            <w:tcW w:w="864" w:type="dxa"/>
          </w:tcPr>
          <w:p w14:paraId="01F6F4EA" w14:textId="77777777" w:rsidR="006F3451" w:rsidRPr="004513AE" w:rsidRDefault="006F3451" w:rsidP="00D92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44579"/>
                <w:sz w:val="14"/>
                <w:szCs w:val="14"/>
              </w:rPr>
            </w:pPr>
            <w:r w:rsidRPr="004513AE">
              <w:rPr>
                <w:rFonts w:ascii="Calibri" w:eastAsia="Calibri" w:hAnsi="Calibri" w:cs="Calibri"/>
                <w:color w:val="344579"/>
                <w:sz w:val="14"/>
                <w:szCs w:val="14"/>
              </w:rPr>
              <w:t>Mobility</w:t>
            </w:r>
          </w:p>
        </w:tc>
        <w:tc>
          <w:tcPr>
            <w:tcW w:w="864" w:type="dxa"/>
          </w:tcPr>
          <w:p w14:paraId="7A1E78D1" w14:textId="77777777" w:rsidR="006F3451" w:rsidRPr="004513AE" w:rsidRDefault="006F3451" w:rsidP="00D92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44579"/>
                <w:sz w:val="14"/>
                <w:szCs w:val="14"/>
              </w:rPr>
            </w:pPr>
            <w:r w:rsidRPr="004513AE">
              <w:rPr>
                <w:rFonts w:ascii="Calibri" w:eastAsia="Calibri" w:hAnsi="Calibri" w:cs="Calibri"/>
                <w:color w:val="344579"/>
                <w:sz w:val="14"/>
                <w:szCs w:val="14"/>
              </w:rPr>
              <w:t>Workplace</w:t>
            </w:r>
          </w:p>
        </w:tc>
        <w:tc>
          <w:tcPr>
            <w:tcW w:w="864" w:type="dxa"/>
          </w:tcPr>
          <w:p w14:paraId="7E0DD286" w14:textId="77777777" w:rsidR="006F3451" w:rsidRPr="004513AE" w:rsidRDefault="006F3451" w:rsidP="00D92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44579"/>
                <w:sz w:val="14"/>
                <w:szCs w:val="14"/>
              </w:rPr>
            </w:pPr>
            <w:r w:rsidRPr="004513AE">
              <w:rPr>
                <w:rFonts w:ascii="Calibri" w:eastAsia="Calibri" w:hAnsi="Calibri" w:cs="Calibri"/>
                <w:color w:val="344579"/>
                <w:sz w:val="14"/>
                <w:szCs w:val="14"/>
              </w:rPr>
              <w:t>Pay</w:t>
            </w:r>
          </w:p>
        </w:tc>
        <w:tc>
          <w:tcPr>
            <w:tcW w:w="864" w:type="dxa"/>
          </w:tcPr>
          <w:p w14:paraId="73526579" w14:textId="77777777" w:rsidR="006F3451" w:rsidRPr="004513AE" w:rsidRDefault="006F3451" w:rsidP="00D92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44579"/>
                <w:sz w:val="14"/>
                <w:szCs w:val="14"/>
              </w:rPr>
            </w:pPr>
            <w:r w:rsidRPr="004513AE">
              <w:rPr>
                <w:rFonts w:ascii="Calibri" w:eastAsia="Calibri" w:hAnsi="Calibri" w:cs="Calibri"/>
                <w:color w:val="344579"/>
                <w:sz w:val="14"/>
                <w:szCs w:val="14"/>
              </w:rPr>
              <w:t>Marriage</w:t>
            </w:r>
          </w:p>
        </w:tc>
        <w:tc>
          <w:tcPr>
            <w:tcW w:w="975" w:type="dxa"/>
          </w:tcPr>
          <w:p w14:paraId="3B0BCA78" w14:textId="77777777" w:rsidR="006F3451" w:rsidRPr="004513AE" w:rsidRDefault="006F3451" w:rsidP="00D92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44579"/>
                <w:sz w:val="14"/>
                <w:szCs w:val="14"/>
              </w:rPr>
            </w:pPr>
            <w:r w:rsidRPr="004513AE">
              <w:rPr>
                <w:rFonts w:ascii="Calibri" w:eastAsia="Calibri" w:hAnsi="Calibri" w:cs="Calibri"/>
                <w:color w:val="344579"/>
                <w:sz w:val="14"/>
                <w:szCs w:val="14"/>
              </w:rPr>
              <w:t>Parenthood</w:t>
            </w:r>
          </w:p>
        </w:tc>
        <w:tc>
          <w:tcPr>
            <w:tcW w:w="810" w:type="dxa"/>
          </w:tcPr>
          <w:p w14:paraId="4E632CA4" w14:textId="77777777" w:rsidR="006F3451" w:rsidRPr="004513AE" w:rsidRDefault="006F3451" w:rsidP="00D92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44579"/>
                <w:sz w:val="14"/>
                <w:szCs w:val="14"/>
              </w:rPr>
            </w:pPr>
            <w:r w:rsidRPr="004513AE">
              <w:rPr>
                <w:rFonts w:ascii="Calibri" w:eastAsia="Calibri" w:hAnsi="Calibri" w:cs="Calibri"/>
                <w:color w:val="344579"/>
                <w:sz w:val="14"/>
                <w:szCs w:val="14"/>
              </w:rPr>
              <w:t>Childcare</w:t>
            </w:r>
          </w:p>
        </w:tc>
        <w:tc>
          <w:tcPr>
            <w:tcW w:w="900" w:type="dxa"/>
          </w:tcPr>
          <w:p w14:paraId="4DB4819E" w14:textId="77777777" w:rsidR="006F3451" w:rsidRPr="004513AE" w:rsidRDefault="006F3451" w:rsidP="00D92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44579"/>
                <w:sz w:val="14"/>
                <w:szCs w:val="14"/>
              </w:rPr>
            </w:pPr>
            <w:proofErr w:type="spellStart"/>
            <w:r w:rsidRPr="004513AE">
              <w:rPr>
                <w:rFonts w:ascii="Calibri" w:eastAsia="Calibri" w:hAnsi="Calibri" w:cs="Calibri"/>
                <w:color w:val="344579"/>
                <w:sz w:val="14"/>
                <w:szCs w:val="14"/>
              </w:rPr>
              <w:t>Entrepren</w:t>
            </w:r>
            <w:proofErr w:type="spellEnd"/>
            <w:r w:rsidRPr="004513AE">
              <w:rPr>
                <w:rFonts w:ascii="Calibri" w:eastAsia="Calibri" w:hAnsi="Calibri" w:cs="Calibri"/>
                <w:color w:val="344579"/>
                <w:sz w:val="14"/>
                <w:szCs w:val="14"/>
              </w:rPr>
              <w:t xml:space="preserve">- </w:t>
            </w:r>
            <w:proofErr w:type="spellStart"/>
            <w:r w:rsidRPr="004513AE">
              <w:rPr>
                <w:rFonts w:ascii="Calibri" w:eastAsia="Calibri" w:hAnsi="Calibri" w:cs="Calibri"/>
                <w:color w:val="344579"/>
                <w:sz w:val="14"/>
                <w:szCs w:val="14"/>
              </w:rPr>
              <w:t>eurship</w:t>
            </w:r>
            <w:proofErr w:type="spellEnd"/>
          </w:p>
        </w:tc>
        <w:tc>
          <w:tcPr>
            <w:tcW w:w="771" w:type="dxa"/>
          </w:tcPr>
          <w:p w14:paraId="20DD75C6" w14:textId="77777777" w:rsidR="006F3451" w:rsidRPr="004513AE" w:rsidRDefault="006F3451" w:rsidP="00D92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44579"/>
                <w:sz w:val="14"/>
                <w:szCs w:val="14"/>
              </w:rPr>
            </w:pPr>
            <w:r w:rsidRPr="004513AE">
              <w:rPr>
                <w:rFonts w:ascii="Calibri" w:eastAsia="Calibri" w:hAnsi="Calibri" w:cs="Calibri"/>
                <w:color w:val="344579"/>
                <w:sz w:val="14"/>
                <w:szCs w:val="14"/>
              </w:rPr>
              <w:t>Assets</w:t>
            </w:r>
          </w:p>
        </w:tc>
        <w:tc>
          <w:tcPr>
            <w:tcW w:w="864" w:type="dxa"/>
          </w:tcPr>
          <w:p w14:paraId="6AFBEB91" w14:textId="77777777" w:rsidR="006F3451" w:rsidRPr="004513AE" w:rsidRDefault="006F3451" w:rsidP="00D92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44579"/>
                <w:sz w:val="14"/>
                <w:szCs w:val="14"/>
              </w:rPr>
            </w:pPr>
            <w:r w:rsidRPr="004513AE">
              <w:rPr>
                <w:rFonts w:ascii="Calibri" w:eastAsia="Calibri" w:hAnsi="Calibri" w:cs="Calibri"/>
                <w:color w:val="344579"/>
                <w:sz w:val="14"/>
                <w:szCs w:val="14"/>
              </w:rPr>
              <w:t>Pension</w:t>
            </w:r>
          </w:p>
        </w:tc>
      </w:tr>
      <w:tr w:rsidR="006F3451" w:rsidRPr="005A07CF" w14:paraId="42502953" w14:textId="77777777" w:rsidTr="00D927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6ED82850" w14:textId="77777777" w:rsidR="006F3451" w:rsidRPr="00594AE9" w:rsidRDefault="006F3451" w:rsidP="00D92715">
            <w:pPr>
              <w:spacing w:after="120"/>
              <w:rPr>
                <w:rFonts w:ascii="Calibri" w:eastAsia="Calibri" w:hAnsi="Calibri" w:cs="Calibri"/>
                <w:color w:val="344579"/>
                <w:sz w:val="14"/>
                <w:szCs w:val="14"/>
              </w:rPr>
            </w:pPr>
            <w:r w:rsidRPr="00594AE9">
              <w:rPr>
                <w:rFonts w:ascii="Calibri" w:eastAsia="Calibri" w:hAnsi="Calibri" w:cs="Calibri"/>
                <w:color w:val="344579"/>
                <w:sz w:val="14"/>
                <w:szCs w:val="14"/>
              </w:rPr>
              <w:t>Legal frameworks</w:t>
            </w:r>
          </w:p>
        </w:tc>
        <w:tc>
          <w:tcPr>
            <w:tcW w:w="833" w:type="dxa"/>
          </w:tcPr>
          <w:p w14:paraId="758F6BB6" w14:textId="77777777" w:rsidR="006F3451" w:rsidRPr="00594AE9" w:rsidRDefault="006F3451" w:rsidP="00D9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344579"/>
                <w:sz w:val="19"/>
                <w:szCs w:val="19"/>
              </w:rPr>
            </w:pPr>
            <w:r w:rsidRPr="00594AE9">
              <w:rPr>
                <w:rFonts w:ascii="Calibri" w:eastAsia="Calibri" w:hAnsi="Calibri" w:cs="Calibri"/>
                <w:b/>
                <w:bCs/>
                <w:color w:val="344579"/>
                <w:sz w:val="19"/>
                <w:szCs w:val="19"/>
              </w:rPr>
              <w:t>64.2</w:t>
            </w:r>
          </w:p>
        </w:tc>
        <w:tc>
          <w:tcPr>
            <w:tcW w:w="833" w:type="dxa"/>
          </w:tcPr>
          <w:p w14:paraId="1A241FA1" w14:textId="77777777" w:rsidR="006F3451" w:rsidRPr="00594AE9" w:rsidRDefault="006F3451" w:rsidP="00D9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344579"/>
                <w:sz w:val="19"/>
                <w:szCs w:val="19"/>
              </w:rPr>
            </w:pPr>
            <w:r w:rsidRPr="00594AE9">
              <w:rPr>
                <w:rFonts w:ascii="Calibri" w:eastAsia="Calibri" w:hAnsi="Calibri" w:cs="Calibri"/>
                <w:b/>
                <w:bCs/>
                <w:color w:val="344579"/>
                <w:sz w:val="19"/>
                <w:szCs w:val="19"/>
              </w:rPr>
              <w:t>36.3</w:t>
            </w:r>
          </w:p>
        </w:tc>
        <w:tc>
          <w:tcPr>
            <w:tcW w:w="864" w:type="dxa"/>
          </w:tcPr>
          <w:p w14:paraId="76DE165D" w14:textId="77777777" w:rsidR="006F3451" w:rsidRPr="00594AE9" w:rsidRDefault="006F3451" w:rsidP="00D9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344579"/>
                <w:sz w:val="19"/>
                <w:szCs w:val="19"/>
              </w:rPr>
            </w:pPr>
            <w:r w:rsidRPr="00594AE9">
              <w:rPr>
                <w:rFonts w:ascii="Calibri" w:eastAsia="Calibri" w:hAnsi="Calibri" w:cs="Calibri"/>
                <w:b/>
                <w:bCs/>
                <w:color w:val="344579"/>
                <w:sz w:val="19"/>
                <w:szCs w:val="19"/>
              </w:rPr>
              <w:t>84.7</w:t>
            </w:r>
          </w:p>
        </w:tc>
        <w:tc>
          <w:tcPr>
            <w:tcW w:w="864" w:type="dxa"/>
          </w:tcPr>
          <w:p w14:paraId="410CD470" w14:textId="77777777" w:rsidR="006F3451" w:rsidRPr="00594AE9" w:rsidRDefault="006F3451" w:rsidP="00D9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344579"/>
                <w:sz w:val="19"/>
                <w:szCs w:val="19"/>
              </w:rPr>
            </w:pPr>
            <w:r w:rsidRPr="00594AE9">
              <w:rPr>
                <w:rFonts w:ascii="Calibri" w:eastAsia="Calibri" w:hAnsi="Calibri" w:cs="Calibri"/>
                <w:b/>
                <w:bCs/>
                <w:color w:val="344579"/>
                <w:sz w:val="19"/>
                <w:szCs w:val="19"/>
              </w:rPr>
              <w:t>60.0</w:t>
            </w:r>
          </w:p>
        </w:tc>
        <w:tc>
          <w:tcPr>
            <w:tcW w:w="864" w:type="dxa"/>
          </w:tcPr>
          <w:p w14:paraId="243EA0D6" w14:textId="77777777" w:rsidR="006F3451" w:rsidRPr="00594AE9" w:rsidRDefault="006F3451" w:rsidP="00D9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344579"/>
                <w:sz w:val="19"/>
                <w:szCs w:val="19"/>
              </w:rPr>
            </w:pPr>
            <w:r w:rsidRPr="00594AE9">
              <w:rPr>
                <w:rFonts w:ascii="Calibri" w:eastAsia="Calibri" w:hAnsi="Calibri" w:cs="Calibri"/>
                <w:b/>
                <w:bCs/>
                <w:color w:val="344579"/>
                <w:sz w:val="19"/>
                <w:szCs w:val="19"/>
              </w:rPr>
              <w:t>71.6</w:t>
            </w:r>
          </w:p>
        </w:tc>
        <w:tc>
          <w:tcPr>
            <w:tcW w:w="864" w:type="dxa"/>
          </w:tcPr>
          <w:p w14:paraId="11ACE48C" w14:textId="77777777" w:rsidR="006F3451" w:rsidRPr="00594AE9" w:rsidRDefault="006F3451" w:rsidP="00D9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344579"/>
                <w:sz w:val="19"/>
                <w:szCs w:val="19"/>
              </w:rPr>
            </w:pPr>
            <w:r w:rsidRPr="00594AE9">
              <w:rPr>
                <w:rFonts w:ascii="Calibri" w:eastAsia="Calibri" w:hAnsi="Calibri" w:cs="Calibri"/>
                <w:b/>
                <w:bCs/>
                <w:color w:val="344579"/>
                <w:sz w:val="19"/>
                <w:szCs w:val="19"/>
              </w:rPr>
              <w:t>79.2</w:t>
            </w:r>
          </w:p>
        </w:tc>
        <w:tc>
          <w:tcPr>
            <w:tcW w:w="975" w:type="dxa"/>
          </w:tcPr>
          <w:p w14:paraId="30C8882E" w14:textId="77777777" w:rsidR="006F3451" w:rsidRPr="00594AE9" w:rsidRDefault="006F3451" w:rsidP="00D9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344579"/>
                <w:sz w:val="19"/>
                <w:szCs w:val="19"/>
              </w:rPr>
            </w:pPr>
            <w:r w:rsidRPr="00594AE9">
              <w:rPr>
                <w:rFonts w:ascii="Calibri" w:eastAsia="Calibri" w:hAnsi="Calibri" w:cs="Calibri"/>
                <w:b/>
                <w:bCs/>
                <w:color w:val="344579"/>
                <w:sz w:val="19"/>
                <w:szCs w:val="19"/>
              </w:rPr>
              <w:t>65.4</w:t>
            </w:r>
          </w:p>
        </w:tc>
        <w:tc>
          <w:tcPr>
            <w:tcW w:w="810" w:type="dxa"/>
          </w:tcPr>
          <w:p w14:paraId="181D24D4" w14:textId="77777777" w:rsidR="006F3451" w:rsidRPr="00594AE9" w:rsidRDefault="006F3451" w:rsidP="00D9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344579"/>
                <w:sz w:val="19"/>
                <w:szCs w:val="19"/>
              </w:rPr>
            </w:pPr>
            <w:r w:rsidRPr="00594AE9">
              <w:rPr>
                <w:rFonts w:ascii="Calibri" w:eastAsia="Calibri" w:hAnsi="Calibri" w:cs="Calibri"/>
                <w:b/>
                <w:bCs/>
                <w:color w:val="344579"/>
                <w:sz w:val="19"/>
                <w:szCs w:val="19"/>
              </w:rPr>
              <w:t>47.6</w:t>
            </w:r>
          </w:p>
        </w:tc>
        <w:tc>
          <w:tcPr>
            <w:tcW w:w="900" w:type="dxa"/>
          </w:tcPr>
          <w:p w14:paraId="311AA3DF" w14:textId="77777777" w:rsidR="006F3451" w:rsidRPr="00594AE9" w:rsidRDefault="006F3451" w:rsidP="00D9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344579"/>
                <w:sz w:val="19"/>
                <w:szCs w:val="19"/>
              </w:rPr>
            </w:pPr>
            <w:r w:rsidRPr="00594AE9">
              <w:rPr>
                <w:rFonts w:ascii="Calibri" w:eastAsia="Calibri" w:hAnsi="Calibri" w:cs="Calibri"/>
                <w:b/>
                <w:bCs/>
                <w:color w:val="344579"/>
                <w:sz w:val="19"/>
                <w:szCs w:val="19"/>
              </w:rPr>
              <w:t>44.2</w:t>
            </w:r>
          </w:p>
        </w:tc>
        <w:tc>
          <w:tcPr>
            <w:tcW w:w="771" w:type="dxa"/>
          </w:tcPr>
          <w:p w14:paraId="660D6718" w14:textId="77777777" w:rsidR="006F3451" w:rsidRPr="00594AE9" w:rsidRDefault="006F3451" w:rsidP="00D9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344579"/>
                <w:sz w:val="19"/>
                <w:szCs w:val="19"/>
              </w:rPr>
            </w:pPr>
            <w:r w:rsidRPr="00594AE9">
              <w:rPr>
                <w:rFonts w:ascii="Calibri" w:eastAsia="Calibri" w:hAnsi="Calibri" w:cs="Calibri"/>
                <w:b/>
                <w:bCs/>
                <w:color w:val="344579"/>
                <w:sz w:val="19"/>
                <w:szCs w:val="19"/>
              </w:rPr>
              <w:t>78.8</w:t>
            </w:r>
          </w:p>
        </w:tc>
        <w:tc>
          <w:tcPr>
            <w:tcW w:w="864" w:type="dxa"/>
          </w:tcPr>
          <w:p w14:paraId="2B38EFB1" w14:textId="77777777" w:rsidR="006F3451" w:rsidRPr="00594AE9" w:rsidRDefault="006F3451" w:rsidP="00D9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344579"/>
                <w:sz w:val="19"/>
                <w:szCs w:val="19"/>
              </w:rPr>
            </w:pPr>
            <w:r w:rsidRPr="00594AE9">
              <w:rPr>
                <w:rFonts w:ascii="Calibri" w:eastAsia="Calibri" w:hAnsi="Calibri" w:cs="Calibri"/>
                <w:b/>
                <w:bCs/>
                <w:color w:val="344579"/>
                <w:sz w:val="19"/>
                <w:szCs w:val="19"/>
              </w:rPr>
              <w:t>74.5</w:t>
            </w:r>
          </w:p>
        </w:tc>
      </w:tr>
      <w:tr w:rsidR="006F3451" w:rsidRPr="005A07CF" w14:paraId="60191981" w14:textId="77777777" w:rsidTr="00D927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184E2EB2" w14:textId="77777777" w:rsidR="006F3451" w:rsidRPr="00594AE9" w:rsidRDefault="006F3451" w:rsidP="00D92715">
            <w:pPr>
              <w:spacing w:after="120"/>
              <w:rPr>
                <w:rFonts w:ascii="Calibri" w:eastAsia="Calibri" w:hAnsi="Calibri" w:cs="Calibri"/>
                <w:color w:val="344579"/>
                <w:sz w:val="14"/>
                <w:szCs w:val="14"/>
              </w:rPr>
            </w:pPr>
            <w:r w:rsidRPr="00594AE9">
              <w:rPr>
                <w:rFonts w:ascii="Calibri" w:eastAsia="Calibri" w:hAnsi="Calibri" w:cs="Calibri"/>
                <w:color w:val="344579"/>
                <w:sz w:val="14"/>
                <w:szCs w:val="14"/>
              </w:rPr>
              <w:t>Supportive frameworks</w:t>
            </w:r>
          </w:p>
        </w:tc>
        <w:tc>
          <w:tcPr>
            <w:tcW w:w="833" w:type="dxa"/>
          </w:tcPr>
          <w:p w14:paraId="0A621877" w14:textId="77777777" w:rsidR="006F3451" w:rsidRPr="00594AE9" w:rsidRDefault="006F3451" w:rsidP="00D9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344579"/>
                <w:sz w:val="19"/>
                <w:szCs w:val="19"/>
              </w:rPr>
            </w:pPr>
            <w:r w:rsidRPr="00594AE9">
              <w:rPr>
                <w:rFonts w:ascii="Calibri" w:eastAsia="Calibri" w:hAnsi="Calibri" w:cs="Calibri"/>
                <w:b/>
                <w:bCs/>
                <w:color w:val="344579"/>
                <w:sz w:val="19"/>
                <w:szCs w:val="19"/>
              </w:rPr>
              <w:t>39.5</w:t>
            </w:r>
          </w:p>
        </w:tc>
        <w:tc>
          <w:tcPr>
            <w:tcW w:w="833" w:type="dxa"/>
          </w:tcPr>
          <w:p w14:paraId="705150BD" w14:textId="77777777" w:rsidR="006F3451" w:rsidRPr="00594AE9" w:rsidRDefault="006F3451" w:rsidP="00D9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344579"/>
                <w:sz w:val="19"/>
                <w:szCs w:val="19"/>
              </w:rPr>
            </w:pPr>
            <w:r w:rsidRPr="00594AE9">
              <w:rPr>
                <w:rFonts w:ascii="Calibri" w:eastAsia="Calibri" w:hAnsi="Calibri" w:cs="Calibri"/>
                <w:b/>
                <w:bCs/>
                <w:color w:val="344579"/>
                <w:sz w:val="19"/>
                <w:szCs w:val="19"/>
              </w:rPr>
              <w:t>38.2</w:t>
            </w:r>
          </w:p>
        </w:tc>
        <w:tc>
          <w:tcPr>
            <w:tcW w:w="864" w:type="dxa"/>
          </w:tcPr>
          <w:p w14:paraId="7A9355BF" w14:textId="77777777" w:rsidR="006F3451" w:rsidRPr="00594AE9" w:rsidRDefault="006F3451" w:rsidP="00D9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344579"/>
                <w:sz w:val="19"/>
                <w:szCs w:val="19"/>
              </w:rPr>
            </w:pPr>
            <w:r w:rsidRPr="00594AE9">
              <w:rPr>
                <w:rFonts w:ascii="Calibri" w:eastAsia="Calibri" w:hAnsi="Calibri" w:cs="Calibri"/>
                <w:b/>
                <w:bCs/>
                <w:color w:val="344579"/>
                <w:sz w:val="19"/>
                <w:szCs w:val="19"/>
              </w:rPr>
              <w:t>65.3</w:t>
            </w:r>
          </w:p>
        </w:tc>
        <w:tc>
          <w:tcPr>
            <w:tcW w:w="864" w:type="dxa"/>
          </w:tcPr>
          <w:p w14:paraId="014D8098" w14:textId="77777777" w:rsidR="006F3451" w:rsidRPr="00594AE9" w:rsidRDefault="006F3451" w:rsidP="00D9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344579"/>
                <w:sz w:val="19"/>
                <w:szCs w:val="19"/>
              </w:rPr>
            </w:pPr>
            <w:r w:rsidRPr="00594AE9">
              <w:rPr>
                <w:rFonts w:ascii="Calibri" w:eastAsia="Calibri" w:hAnsi="Calibri" w:cs="Calibri"/>
                <w:b/>
                <w:bCs/>
                <w:color w:val="344579"/>
                <w:sz w:val="19"/>
                <w:szCs w:val="19"/>
              </w:rPr>
              <w:t>27.5</w:t>
            </w:r>
          </w:p>
        </w:tc>
        <w:tc>
          <w:tcPr>
            <w:tcW w:w="864" w:type="dxa"/>
          </w:tcPr>
          <w:p w14:paraId="154AF29B" w14:textId="77777777" w:rsidR="006F3451" w:rsidRPr="00594AE9" w:rsidRDefault="006F3451" w:rsidP="00D9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344579"/>
                <w:sz w:val="19"/>
                <w:szCs w:val="19"/>
              </w:rPr>
            </w:pPr>
            <w:r w:rsidRPr="00594AE9">
              <w:rPr>
                <w:rFonts w:ascii="Calibri" w:eastAsia="Calibri" w:hAnsi="Calibri" w:cs="Calibri"/>
                <w:b/>
                <w:bCs/>
                <w:color w:val="344579"/>
                <w:sz w:val="19"/>
                <w:szCs w:val="19"/>
              </w:rPr>
              <w:t>32.9</w:t>
            </w:r>
          </w:p>
        </w:tc>
        <w:tc>
          <w:tcPr>
            <w:tcW w:w="864" w:type="dxa"/>
          </w:tcPr>
          <w:p w14:paraId="7749DE4D" w14:textId="77777777" w:rsidR="006F3451" w:rsidRPr="00594AE9" w:rsidRDefault="006F3451" w:rsidP="00D9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344579"/>
                <w:sz w:val="19"/>
                <w:szCs w:val="19"/>
              </w:rPr>
            </w:pPr>
            <w:r w:rsidRPr="00594AE9">
              <w:rPr>
                <w:rFonts w:ascii="Calibri" w:eastAsia="Calibri" w:hAnsi="Calibri" w:cs="Calibri"/>
                <w:b/>
                <w:bCs/>
                <w:color w:val="344579"/>
                <w:sz w:val="19"/>
                <w:szCs w:val="19"/>
              </w:rPr>
              <w:t>53.0</w:t>
            </w:r>
          </w:p>
        </w:tc>
        <w:tc>
          <w:tcPr>
            <w:tcW w:w="975" w:type="dxa"/>
          </w:tcPr>
          <w:p w14:paraId="67E22BF0" w14:textId="77777777" w:rsidR="006F3451" w:rsidRPr="00594AE9" w:rsidRDefault="006F3451" w:rsidP="00D9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344579"/>
                <w:sz w:val="19"/>
                <w:szCs w:val="19"/>
              </w:rPr>
            </w:pPr>
            <w:r w:rsidRPr="00594AE9">
              <w:rPr>
                <w:rFonts w:ascii="Calibri" w:eastAsia="Calibri" w:hAnsi="Calibri" w:cs="Calibri"/>
                <w:b/>
                <w:bCs/>
                <w:color w:val="344579"/>
                <w:sz w:val="19"/>
                <w:szCs w:val="19"/>
              </w:rPr>
              <w:t>33.9</w:t>
            </w:r>
          </w:p>
        </w:tc>
        <w:tc>
          <w:tcPr>
            <w:tcW w:w="810" w:type="dxa"/>
          </w:tcPr>
          <w:p w14:paraId="6ABC9770" w14:textId="77777777" w:rsidR="006F3451" w:rsidRPr="00594AE9" w:rsidRDefault="006F3451" w:rsidP="00D9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344579"/>
                <w:sz w:val="19"/>
                <w:szCs w:val="19"/>
              </w:rPr>
            </w:pPr>
            <w:r w:rsidRPr="00594AE9">
              <w:rPr>
                <w:rFonts w:ascii="Calibri" w:eastAsia="Calibri" w:hAnsi="Calibri" w:cs="Calibri"/>
                <w:b/>
                <w:bCs/>
                <w:color w:val="344579"/>
                <w:sz w:val="19"/>
                <w:szCs w:val="19"/>
              </w:rPr>
              <w:t>30.0</w:t>
            </w:r>
          </w:p>
        </w:tc>
        <w:tc>
          <w:tcPr>
            <w:tcW w:w="900" w:type="dxa"/>
          </w:tcPr>
          <w:p w14:paraId="600A8A30" w14:textId="77777777" w:rsidR="006F3451" w:rsidRPr="00594AE9" w:rsidRDefault="006F3451" w:rsidP="00D9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344579"/>
                <w:sz w:val="19"/>
                <w:szCs w:val="19"/>
              </w:rPr>
            </w:pPr>
            <w:r w:rsidRPr="00594AE9">
              <w:rPr>
                <w:rFonts w:ascii="Calibri" w:eastAsia="Calibri" w:hAnsi="Calibri" w:cs="Calibri"/>
                <w:b/>
                <w:bCs/>
                <w:color w:val="344579"/>
                <w:sz w:val="19"/>
                <w:szCs w:val="19"/>
              </w:rPr>
              <w:t>39.6</w:t>
            </w:r>
          </w:p>
        </w:tc>
        <w:tc>
          <w:tcPr>
            <w:tcW w:w="771" w:type="dxa"/>
          </w:tcPr>
          <w:p w14:paraId="0F643FDD" w14:textId="77777777" w:rsidR="006F3451" w:rsidRPr="00594AE9" w:rsidRDefault="006F3451" w:rsidP="00D9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344579"/>
                <w:sz w:val="19"/>
                <w:szCs w:val="19"/>
              </w:rPr>
            </w:pPr>
            <w:r w:rsidRPr="00594AE9">
              <w:rPr>
                <w:rFonts w:ascii="Calibri" w:eastAsia="Calibri" w:hAnsi="Calibri" w:cs="Calibri"/>
                <w:b/>
                <w:bCs/>
                <w:color w:val="344579"/>
                <w:sz w:val="19"/>
                <w:szCs w:val="19"/>
              </w:rPr>
              <w:t>29.3</w:t>
            </w:r>
          </w:p>
        </w:tc>
        <w:tc>
          <w:tcPr>
            <w:tcW w:w="864" w:type="dxa"/>
          </w:tcPr>
          <w:p w14:paraId="13F2AE65" w14:textId="77777777" w:rsidR="006F3451" w:rsidRPr="00594AE9" w:rsidRDefault="006F3451" w:rsidP="00D9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344579"/>
                <w:sz w:val="19"/>
                <w:szCs w:val="19"/>
              </w:rPr>
            </w:pPr>
            <w:r w:rsidRPr="00594AE9">
              <w:rPr>
                <w:rFonts w:ascii="Calibri" w:eastAsia="Calibri" w:hAnsi="Calibri" w:cs="Calibri"/>
                <w:b/>
                <w:bCs/>
                <w:color w:val="344579"/>
                <w:sz w:val="19"/>
                <w:szCs w:val="19"/>
              </w:rPr>
              <w:t>45.0</w:t>
            </w:r>
          </w:p>
        </w:tc>
      </w:tr>
    </w:tbl>
    <w:p w14:paraId="3DF44846" w14:textId="77777777" w:rsidR="006F3451" w:rsidRDefault="006F3451" w:rsidP="006F345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155B0C1" w14:textId="77777777" w:rsidR="00D31704" w:rsidRPr="00F63555" w:rsidRDefault="00D31704" w:rsidP="00F63555">
      <w:pPr>
        <w:pStyle w:val="ListParagraph"/>
        <w:ind w:left="360"/>
        <w:jc w:val="both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</w:p>
    <w:p w14:paraId="3CC42FBD" w14:textId="52B5DCA7" w:rsidR="007650D8" w:rsidRPr="00553EC6" w:rsidRDefault="008330D0" w:rsidP="00553EC6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DF7620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No reforms were introduced</w:t>
      </w:r>
      <w: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by region’s 8 economies</w:t>
      </w:r>
      <w:r w:rsidR="000F4DF6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last year</w:t>
      </w:r>
      <w: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. </w:t>
      </w:r>
      <w:r w:rsidR="00D0740B" w:rsidRPr="00553EC6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="00AD2D22" w:rsidRPr="00553EC6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63F9D884" w14:textId="77777777" w:rsidR="000F4DF6" w:rsidRDefault="000F4DF6" w:rsidP="00840C04">
      <w:pPr>
        <w:pStyle w:val="Heading3"/>
      </w:pPr>
      <w:bookmarkStart w:id="1" w:name="_Hlk158750521"/>
    </w:p>
    <w:p w14:paraId="403FC03D" w14:textId="4864F438" w:rsidR="00840C04" w:rsidRPr="00A35A77" w:rsidRDefault="00840C04" w:rsidP="00840C04">
      <w:pPr>
        <w:pStyle w:val="Heading3"/>
      </w:pPr>
      <w:r>
        <w:t>Legal frameworks</w:t>
      </w:r>
    </w:p>
    <w:bookmarkEnd w:id="1"/>
    <w:p w14:paraId="21FDE16A" w14:textId="25DECCCF" w:rsidR="001B3E81" w:rsidRDefault="000477B9" w:rsidP="000477B9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636CEB">
        <w:rPr>
          <w:rFonts w:ascii="Times New Roman" w:hAnsi="Times New Roman" w:cs="Times New Roman"/>
          <w:b/>
          <w:bCs/>
          <w:i/>
          <w:iCs/>
          <w:color w:val="000000" w:themeColor="text1"/>
        </w:rPr>
        <w:t>Women, Business and the Law</w:t>
      </w:r>
      <w:r w:rsidRPr="00636CEB">
        <w:rPr>
          <w:rFonts w:ascii="Times New Roman" w:hAnsi="Times New Roman" w:cs="Times New Roman"/>
          <w:b/>
          <w:bCs/>
          <w:color w:val="000000" w:themeColor="text1"/>
        </w:rPr>
        <w:t xml:space="preserve"> legal frameworks</w:t>
      </w:r>
      <w:r w:rsidRPr="00636CEB">
        <w:rPr>
          <w:rFonts w:ascii="Times New Roman" w:hAnsi="Times New Roman" w:cs="Times New Roman"/>
          <w:color w:val="000000" w:themeColor="text1"/>
        </w:rPr>
        <w:t xml:space="preserve"> assess</w:t>
      </w:r>
      <w:r>
        <w:rPr>
          <w:rFonts w:ascii="Times New Roman" w:hAnsi="Times New Roman" w:cs="Times New Roman"/>
          <w:color w:val="000000" w:themeColor="text1"/>
        </w:rPr>
        <w:t xml:space="preserve"> laws in the books in</w:t>
      </w:r>
      <w:r w:rsidRPr="00636CE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8</w:t>
      </w:r>
      <w:r w:rsidRPr="00636CEB">
        <w:rPr>
          <w:rFonts w:ascii="Times New Roman" w:hAnsi="Times New Roman" w:cs="Times New Roman"/>
          <w:color w:val="000000" w:themeColor="text1"/>
        </w:rPr>
        <w:t xml:space="preserve"> economies</w:t>
      </w:r>
      <w:r>
        <w:rPr>
          <w:rFonts w:ascii="Times New Roman" w:hAnsi="Times New Roman" w:cs="Times New Roman"/>
          <w:color w:val="000000" w:themeColor="text1"/>
        </w:rPr>
        <w:t xml:space="preserve"> in the South Asia region</w:t>
      </w:r>
      <w:r w:rsidR="000F4DF6">
        <w:rPr>
          <w:rFonts w:ascii="Times New Roman" w:hAnsi="Times New Roman" w:cs="Times New Roman"/>
          <w:color w:val="000000" w:themeColor="text1"/>
        </w:rPr>
        <w:t>.</w:t>
      </w:r>
    </w:p>
    <w:p w14:paraId="65C31E7C" w14:textId="472667C3" w:rsidR="000477B9" w:rsidRPr="000578C8" w:rsidRDefault="00DA62AD" w:rsidP="000477B9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The </w:t>
      </w:r>
      <w:r w:rsidR="000477B9" w:rsidRPr="00636CEB">
        <w:rPr>
          <w:rFonts w:ascii="Times New Roman" w:hAnsi="Times New Roman" w:cs="Times New Roman"/>
          <w:color w:val="000000" w:themeColor="text1"/>
        </w:rPr>
        <w:t>average</w:t>
      </w:r>
      <w:r>
        <w:rPr>
          <w:rFonts w:ascii="Times New Roman" w:hAnsi="Times New Roman" w:cs="Times New Roman"/>
          <w:color w:val="000000" w:themeColor="text1"/>
        </w:rPr>
        <w:t xml:space="preserve"> South Asia</w:t>
      </w:r>
      <w:r w:rsidR="000477B9" w:rsidRPr="00636CEB">
        <w:rPr>
          <w:rFonts w:ascii="Times New Roman" w:hAnsi="Times New Roman" w:cs="Times New Roman"/>
          <w:color w:val="000000" w:themeColor="text1"/>
        </w:rPr>
        <w:t xml:space="preserve"> regional score </w:t>
      </w:r>
      <w:r>
        <w:rPr>
          <w:rFonts w:ascii="Times New Roman" w:hAnsi="Times New Roman" w:cs="Times New Roman"/>
          <w:color w:val="000000" w:themeColor="text1"/>
        </w:rPr>
        <w:t>is</w:t>
      </w:r>
      <w:r w:rsidR="000477B9" w:rsidRPr="00636CEB">
        <w:rPr>
          <w:rFonts w:ascii="Times New Roman" w:hAnsi="Times New Roman" w:cs="Times New Roman"/>
          <w:color w:val="000000" w:themeColor="text1"/>
        </w:rPr>
        <w:t xml:space="preserve"> </w:t>
      </w:r>
      <w:r w:rsidR="000578C8">
        <w:rPr>
          <w:rFonts w:ascii="Times New Roman" w:hAnsi="Times New Roman" w:cs="Times New Roman"/>
          <w:b/>
          <w:bCs/>
          <w:color w:val="000000" w:themeColor="text1"/>
        </w:rPr>
        <w:t>45.9</w:t>
      </w:r>
      <w:r w:rsidR="000477B9" w:rsidRPr="00636CEB">
        <w:rPr>
          <w:rFonts w:ascii="Times New Roman" w:hAnsi="Times New Roman" w:cs="Times New Roman"/>
          <w:color w:val="000000" w:themeColor="text1"/>
        </w:rPr>
        <w:t xml:space="preserve">, </w:t>
      </w:r>
      <w:r w:rsidR="000578C8">
        <w:rPr>
          <w:rFonts w:ascii="Times New Roman" w:hAnsi="Times New Roman" w:cs="Times New Roman"/>
          <w:color w:val="000000" w:themeColor="text1"/>
        </w:rPr>
        <w:t>considerably lower</w:t>
      </w:r>
      <w:r w:rsidR="000477B9" w:rsidRPr="00636CEB">
        <w:rPr>
          <w:rFonts w:ascii="Times New Roman" w:hAnsi="Times New Roman" w:cs="Times New Roman"/>
          <w:color w:val="000000" w:themeColor="text1"/>
        </w:rPr>
        <w:t xml:space="preserve"> than the </w:t>
      </w:r>
      <w:r w:rsidR="000477B9">
        <w:rPr>
          <w:rFonts w:ascii="Times New Roman" w:hAnsi="Times New Roman" w:cs="Times New Roman"/>
          <w:color w:val="000000" w:themeColor="text1"/>
        </w:rPr>
        <w:t xml:space="preserve">legal index </w:t>
      </w:r>
      <w:r w:rsidR="000477B9" w:rsidRPr="00636CEB">
        <w:rPr>
          <w:rFonts w:ascii="Times New Roman" w:hAnsi="Times New Roman" w:cs="Times New Roman"/>
          <w:color w:val="000000" w:themeColor="text1"/>
        </w:rPr>
        <w:t>global average of 64.2.</w:t>
      </w:r>
    </w:p>
    <w:p w14:paraId="7654FF0D" w14:textId="15AB7142" w:rsidR="00F33372" w:rsidRPr="009B4960" w:rsidRDefault="00F33372" w:rsidP="00F33372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3D36E2AE">
        <w:rPr>
          <w:rFonts w:ascii="Times New Roman" w:hAnsi="Times New Roman" w:cs="Times New Roman"/>
          <w:color w:val="000000" w:themeColor="text1"/>
        </w:rPr>
        <w:t xml:space="preserve">None of the </w:t>
      </w:r>
      <w:r w:rsidR="00C92316" w:rsidRPr="3D36E2AE">
        <w:rPr>
          <w:rFonts w:ascii="Times New Roman" w:hAnsi="Times New Roman" w:cs="Times New Roman"/>
          <w:color w:val="000000" w:themeColor="text1"/>
        </w:rPr>
        <w:t xml:space="preserve">8 </w:t>
      </w:r>
      <w:r w:rsidRPr="3D36E2AE">
        <w:rPr>
          <w:rFonts w:ascii="Times New Roman" w:hAnsi="Times New Roman" w:cs="Times New Roman"/>
          <w:color w:val="000000" w:themeColor="text1"/>
        </w:rPr>
        <w:t xml:space="preserve">economies </w:t>
      </w:r>
      <w:r w:rsidR="00BF0463" w:rsidRPr="3D36E2AE">
        <w:rPr>
          <w:rFonts w:ascii="Times New Roman" w:hAnsi="Times New Roman" w:cs="Times New Roman"/>
          <w:color w:val="000000" w:themeColor="text1"/>
        </w:rPr>
        <w:t>examined</w:t>
      </w:r>
      <w:r w:rsidR="004F3386" w:rsidRPr="3D36E2AE">
        <w:rPr>
          <w:rFonts w:ascii="Times New Roman" w:hAnsi="Times New Roman" w:cs="Times New Roman"/>
          <w:color w:val="000000" w:themeColor="text1"/>
        </w:rPr>
        <w:t xml:space="preserve"> in SAR</w:t>
      </w:r>
      <w:r w:rsidR="00BF0463" w:rsidRPr="3D36E2AE">
        <w:rPr>
          <w:rFonts w:ascii="Times New Roman" w:hAnsi="Times New Roman" w:cs="Times New Roman"/>
          <w:color w:val="000000" w:themeColor="text1"/>
        </w:rPr>
        <w:t xml:space="preserve"> receive a score of 100 in the</w:t>
      </w:r>
      <w:r w:rsidR="004F3386" w:rsidRPr="3D36E2AE">
        <w:rPr>
          <w:rFonts w:ascii="Times New Roman" w:hAnsi="Times New Roman" w:cs="Times New Roman"/>
          <w:color w:val="000000" w:themeColor="text1"/>
        </w:rPr>
        <w:t xml:space="preserve"> </w:t>
      </w:r>
      <w:r w:rsidR="00BF0463" w:rsidRPr="3D36E2AE">
        <w:rPr>
          <w:rFonts w:ascii="Times New Roman" w:hAnsi="Times New Roman" w:cs="Times New Roman"/>
          <w:color w:val="000000" w:themeColor="text1"/>
        </w:rPr>
        <w:t>legal frameworks index, which means that no economy</w:t>
      </w:r>
      <w:r w:rsidR="009D3C43" w:rsidRPr="3D36E2AE">
        <w:rPr>
          <w:rFonts w:ascii="Times New Roman" w:hAnsi="Times New Roman" w:cs="Times New Roman"/>
          <w:color w:val="000000" w:themeColor="text1"/>
        </w:rPr>
        <w:t xml:space="preserve"> in </w:t>
      </w:r>
      <w:r w:rsidR="00A37215">
        <w:rPr>
          <w:rFonts w:ascii="Times New Roman" w:hAnsi="Times New Roman" w:cs="Times New Roman"/>
          <w:color w:val="000000" w:themeColor="text1"/>
        </w:rPr>
        <w:t xml:space="preserve">South Asia </w:t>
      </w:r>
      <w:r w:rsidRPr="3D36E2AE">
        <w:rPr>
          <w:rFonts w:ascii="Times New Roman" w:hAnsi="Times New Roman" w:cs="Times New Roman"/>
          <w:color w:val="000000" w:themeColor="text1"/>
        </w:rPr>
        <w:t>has achieved legal gender parity in the areas measure</w:t>
      </w:r>
      <w:r w:rsidR="003926AD" w:rsidRPr="3D36E2AE">
        <w:rPr>
          <w:rFonts w:ascii="Times New Roman" w:hAnsi="Times New Roman" w:cs="Times New Roman"/>
          <w:color w:val="000000" w:themeColor="text1"/>
        </w:rPr>
        <w:t>d</w:t>
      </w:r>
      <w:r w:rsidRPr="3D36E2AE">
        <w:rPr>
          <w:rFonts w:ascii="Times New Roman" w:hAnsi="Times New Roman" w:cs="Times New Roman"/>
          <w:color w:val="000000" w:themeColor="text1"/>
        </w:rPr>
        <w:t>.</w:t>
      </w:r>
    </w:p>
    <w:p w14:paraId="00EB0502" w14:textId="6D24BF6D" w:rsidR="003F53C6" w:rsidRPr="006B7603" w:rsidRDefault="003F53C6" w:rsidP="006B7603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6B7603">
        <w:rPr>
          <w:rFonts w:ascii="Times New Roman" w:hAnsi="Times New Roman" w:cs="Times New Roman"/>
          <w:color w:val="000000" w:themeColor="text1"/>
        </w:rPr>
        <w:t xml:space="preserve">All 8 economies in South Asia score below the global average of </w:t>
      </w:r>
      <w:r w:rsidR="009D3C43" w:rsidRPr="006B7603">
        <w:rPr>
          <w:rFonts w:ascii="Times New Roman" w:hAnsi="Times New Roman" w:cs="Times New Roman"/>
          <w:color w:val="000000" w:themeColor="text1"/>
        </w:rPr>
        <w:t>64.2</w:t>
      </w:r>
      <w:r w:rsidR="00E15616" w:rsidRPr="006B7603">
        <w:rPr>
          <w:rFonts w:ascii="Times New Roman" w:hAnsi="Times New Roman" w:cs="Times New Roman"/>
          <w:color w:val="000000" w:themeColor="text1"/>
        </w:rPr>
        <w:t>.</w:t>
      </w:r>
      <w:r w:rsidR="006B7603">
        <w:rPr>
          <w:rFonts w:ascii="Times New Roman" w:hAnsi="Times New Roman" w:cs="Times New Roman"/>
          <w:color w:val="000000" w:themeColor="text1"/>
        </w:rPr>
        <w:t xml:space="preserve"> The </w:t>
      </w:r>
      <w:r w:rsidR="00E15616" w:rsidRPr="006B7603">
        <w:rPr>
          <w:rFonts w:ascii="Times New Roman" w:hAnsi="Times New Roman" w:cs="Times New Roman"/>
          <w:color w:val="000000" w:themeColor="text1"/>
        </w:rPr>
        <w:t>highest scoring economy in the region is Nepal (62.5)</w:t>
      </w:r>
      <w:r w:rsidR="00810AE0">
        <w:rPr>
          <w:rFonts w:ascii="Times New Roman" w:hAnsi="Times New Roman" w:cs="Times New Roman"/>
          <w:color w:val="000000" w:themeColor="text1"/>
        </w:rPr>
        <w:t>, followed by India (60). T</w:t>
      </w:r>
      <w:r w:rsidR="00E15616" w:rsidRPr="006B7603">
        <w:rPr>
          <w:rFonts w:ascii="Times New Roman" w:hAnsi="Times New Roman" w:cs="Times New Roman"/>
          <w:color w:val="000000" w:themeColor="text1"/>
        </w:rPr>
        <w:t>he lowest scoring econom</w:t>
      </w:r>
      <w:r w:rsidR="00810AE0">
        <w:rPr>
          <w:rFonts w:ascii="Times New Roman" w:hAnsi="Times New Roman" w:cs="Times New Roman"/>
          <w:color w:val="000000" w:themeColor="text1"/>
        </w:rPr>
        <w:t xml:space="preserve">ies are Bangladesh (32.5) and </w:t>
      </w:r>
      <w:r w:rsidR="00E15616" w:rsidRPr="006B7603">
        <w:rPr>
          <w:rFonts w:ascii="Times New Roman" w:hAnsi="Times New Roman" w:cs="Times New Roman"/>
          <w:color w:val="000000" w:themeColor="text1"/>
        </w:rPr>
        <w:t>Afghanistan (20.0)</w:t>
      </w:r>
    </w:p>
    <w:p w14:paraId="226486CF" w14:textId="52C086A7" w:rsidR="00617986" w:rsidRPr="00840C04" w:rsidRDefault="003167F0" w:rsidP="00840C04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3D36E2AE">
        <w:rPr>
          <w:rFonts w:ascii="Times New Roman" w:hAnsi="Times New Roman" w:cs="Times New Roman"/>
          <w:color w:val="000000" w:themeColor="text1"/>
        </w:rPr>
        <w:t xml:space="preserve">Economies in the South Asia region perform </w:t>
      </w:r>
      <w:r w:rsidR="7881D778" w:rsidRPr="3D36E2AE">
        <w:rPr>
          <w:rFonts w:ascii="Times New Roman" w:hAnsi="Times New Roman" w:cs="Times New Roman"/>
          <w:color w:val="000000" w:themeColor="text1"/>
        </w:rPr>
        <w:t xml:space="preserve">relatively </w:t>
      </w:r>
      <w:r w:rsidRPr="3D36E2AE">
        <w:rPr>
          <w:rFonts w:ascii="Times New Roman" w:hAnsi="Times New Roman" w:cs="Times New Roman"/>
          <w:color w:val="000000" w:themeColor="text1"/>
        </w:rPr>
        <w:t xml:space="preserve">well in the </w:t>
      </w:r>
      <w:r w:rsidRPr="3D36E2AE">
        <w:rPr>
          <w:rFonts w:ascii="Times New Roman" w:hAnsi="Times New Roman" w:cs="Times New Roman"/>
          <w:i/>
          <w:iCs/>
          <w:color w:val="000000" w:themeColor="text1"/>
        </w:rPr>
        <w:t>Mobility</w:t>
      </w:r>
      <w:r w:rsidRPr="3D36E2AE">
        <w:rPr>
          <w:rFonts w:ascii="Times New Roman" w:hAnsi="Times New Roman" w:cs="Times New Roman"/>
          <w:color w:val="000000" w:themeColor="text1"/>
        </w:rPr>
        <w:t xml:space="preserve"> and </w:t>
      </w:r>
      <w:r w:rsidRPr="3D36E2AE">
        <w:rPr>
          <w:rFonts w:ascii="Times New Roman" w:hAnsi="Times New Roman" w:cs="Times New Roman"/>
          <w:i/>
          <w:iCs/>
          <w:color w:val="000000" w:themeColor="text1"/>
        </w:rPr>
        <w:t>Marriage</w:t>
      </w:r>
      <w:r w:rsidRPr="3D36E2AE">
        <w:rPr>
          <w:rFonts w:ascii="Times New Roman" w:hAnsi="Times New Roman" w:cs="Times New Roman"/>
          <w:color w:val="000000" w:themeColor="text1"/>
        </w:rPr>
        <w:t xml:space="preserve"> indicators, with an average score of </w:t>
      </w:r>
      <w:r w:rsidR="00DA7684" w:rsidRPr="3D36E2AE">
        <w:rPr>
          <w:rFonts w:ascii="Times New Roman" w:hAnsi="Times New Roman" w:cs="Times New Roman"/>
          <w:color w:val="000000" w:themeColor="text1"/>
        </w:rPr>
        <w:t xml:space="preserve">75 and 68.8, respectively. </w:t>
      </w:r>
      <w:r w:rsidR="00617986" w:rsidRPr="3D36E2AE">
        <w:rPr>
          <w:rFonts w:ascii="Times New Roman" w:hAnsi="Times New Roman" w:cs="Times New Roman"/>
          <w:color w:val="000000" w:themeColor="text1"/>
        </w:rPr>
        <w:t xml:space="preserve">In </w:t>
      </w:r>
      <w:r w:rsidR="00617986" w:rsidRPr="3D36E2AE">
        <w:rPr>
          <w:rFonts w:ascii="Times New Roman" w:hAnsi="Times New Roman" w:cs="Times New Roman"/>
          <w:i/>
          <w:iCs/>
          <w:color w:val="000000" w:themeColor="text1"/>
        </w:rPr>
        <w:t>Mobility</w:t>
      </w:r>
      <w:r w:rsidR="00617986" w:rsidRPr="3D36E2AE">
        <w:rPr>
          <w:rFonts w:ascii="Times New Roman" w:hAnsi="Times New Roman" w:cs="Times New Roman"/>
          <w:color w:val="000000" w:themeColor="text1"/>
        </w:rPr>
        <w:t xml:space="preserve">, 7 out of 8 economies in the region have laws allowing a woman to travel outside </w:t>
      </w:r>
      <w:r w:rsidR="182E30FA" w:rsidRPr="3D36E2AE">
        <w:rPr>
          <w:rFonts w:ascii="Times New Roman" w:hAnsi="Times New Roman" w:cs="Times New Roman"/>
          <w:color w:val="000000" w:themeColor="text1"/>
        </w:rPr>
        <w:t xml:space="preserve">the home and travel internationally </w:t>
      </w:r>
      <w:r w:rsidR="00617986" w:rsidRPr="3D36E2AE">
        <w:rPr>
          <w:rFonts w:ascii="Times New Roman" w:hAnsi="Times New Roman" w:cs="Times New Roman"/>
          <w:color w:val="000000" w:themeColor="text1"/>
        </w:rPr>
        <w:t>in the same way as a man.</w:t>
      </w:r>
      <w:r w:rsidR="00840C04" w:rsidRPr="3D36E2AE">
        <w:rPr>
          <w:rFonts w:ascii="Times New Roman" w:hAnsi="Times New Roman" w:cs="Times New Roman"/>
          <w:color w:val="000000" w:themeColor="text1"/>
        </w:rPr>
        <w:t xml:space="preserve"> </w:t>
      </w:r>
      <w:r w:rsidR="00617986" w:rsidRPr="3D36E2AE">
        <w:rPr>
          <w:rFonts w:ascii="Times New Roman" w:hAnsi="Times New Roman" w:cs="Times New Roman"/>
          <w:color w:val="000000" w:themeColor="text1"/>
        </w:rPr>
        <w:t xml:space="preserve">In </w:t>
      </w:r>
      <w:r w:rsidR="00247423" w:rsidRPr="3D36E2AE">
        <w:rPr>
          <w:rFonts w:ascii="Times New Roman" w:hAnsi="Times New Roman" w:cs="Times New Roman"/>
          <w:i/>
          <w:iCs/>
          <w:color w:val="000000" w:themeColor="text1"/>
        </w:rPr>
        <w:t>Marriage</w:t>
      </w:r>
      <w:r w:rsidR="00247423" w:rsidRPr="3D36E2AE">
        <w:rPr>
          <w:rFonts w:ascii="Times New Roman" w:hAnsi="Times New Roman" w:cs="Times New Roman"/>
          <w:color w:val="000000" w:themeColor="text1"/>
        </w:rPr>
        <w:t xml:space="preserve">, all 8 economies in the region have laws allowing women to be “head of household” or “head of family” in the same way as a man. </w:t>
      </w:r>
      <w:r w:rsidR="00617986" w:rsidRPr="3D36E2AE">
        <w:rPr>
          <w:rFonts w:ascii="Times New Roman" w:hAnsi="Times New Roman" w:cs="Times New Roman"/>
          <w:color w:val="000000" w:themeColor="text1"/>
        </w:rPr>
        <w:t xml:space="preserve"> </w:t>
      </w:r>
    </w:p>
    <w:p w14:paraId="2250C040" w14:textId="3601FD76" w:rsidR="00617986" w:rsidRPr="009B4960" w:rsidRDefault="00617986" w:rsidP="003F53C6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3D36E2AE">
        <w:rPr>
          <w:rFonts w:ascii="Times New Roman" w:hAnsi="Times New Roman" w:cs="Times New Roman"/>
          <w:color w:val="000000" w:themeColor="text1"/>
        </w:rPr>
        <w:t xml:space="preserve">In contrast, </w:t>
      </w:r>
      <w:r w:rsidR="0A5E504E" w:rsidRPr="3D36E2AE">
        <w:rPr>
          <w:rFonts w:ascii="Times New Roman" w:hAnsi="Times New Roman" w:cs="Times New Roman"/>
          <w:color w:val="000000" w:themeColor="text1"/>
        </w:rPr>
        <w:t>no economy in the region scores 100 in</w:t>
      </w:r>
      <w:r w:rsidR="00247423" w:rsidRPr="3D36E2A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16792F43" w:rsidRPr="3D36E2AE">
        <w:rPr>
          <w:rFonts w:ascii="Times New Roman" w:hAnsi="Times New Roman" w:cs="Times New Roman"/>
          <w:color w:val="000000" w:themeColor="text1"/>
        </w:rPr>
        <w:t xml:space="preserve">the </w:t>
      </w:r>
      <w:r w:rsidRPr="3D36E2AE">
        <w:rPr>
          <w:rFonts w:ascii="Times New Roman" w:hAnsi="Times New Roman" w:cs="Times New Roman"/>
          <w:i/>
          <w:iCs/>
          <w:color w:val="000000" w:themeColor="text1"/>
        </w:rPr>
        <w:t xml:space="preserve">Safety, Workplace, Parenthood, Childcare </w:t>
      </w:r>
      <w:r w:rsidRPr="3D36E2AE">
        <w:rPr>
          <w:rFonts w:ascii="Times New Roman" w:hAnsi="Times New Roman" w:cs="Times New Roman"/>
          <w:color w:val="000000" w:themeColor="text1"/>
        </w:rPr>
        <w:t>and</w:t>
      </w:r>
      <w:r w:rsidRPr="3D36E2AE">
        <w:rPr>
          <w:rFonts w:ascii="Times New Roman" w:hAnsi="Times New Roman" w:cs="Times New Roman"/>
          <w:i/>
          <w:iCs/>
          <w:color w:val="000000" w:themeColor="text1"/>
        </w:rPr>
        <w:t xml:space="preserve"> Entrepreneurship</w:t>
      </w:r>
      <w:r w:rsidRPr="3D36E2AE">
        <w:rPr>
          <w:rFonts w:ascii="Times New Roman" w:hAnsi="Times New Roman" w:cs="Times New Roman"/>
          <w:color w:val="000000" w:themeColor="text1"/>
        </w:rPr>
        <w:t xml:space="preserve"> indicators. </w:t>
      </w:r>
    </w:p>
    <w:p w14:paraId="26B5C829" w14:textId="7C3D4B5A" w:rsidR="009B4960" w:rsidRPr="003B2E3F" w:rsidRDefault="00617986" w:rsidP="009B496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3D36E2AE">
        <w:rPr>
          <w:rFonts w:ascii="Times New Roman" w:hAnsi="Times New Roman" w:cs="Times New Roman"/>
          <w:color w:val="000000" w:themeColor="text1"/>
        </w:rPr>
        <w:t xml:space="preserve">Challenges remain, especially in </w:t>
      </w:r>
      <w:r w:rsidRPr="3D36E2AE">
        <w:rPr>
          <w:rFonts w:ascii="Times New Roman" w:hAnsi="Times New Roman" w:cs="Times New Roman"/>
          <w:i/>
          <w:iCs/>
          <w:color w:val="000000" w:themeColor="text1"/>
        </w:rPr>
        <w:t>C</w:t>
      </w:r>
      <w:r w:rsidRPr="000C58EE">
        <w:rPr>
          <w:rFonts w:ascii="Times New Roman" w:hAnsi="Times New Roman" w:cs="Times New Roman"/>
          <w:i/>
          <w:iCs/>
          <w:color w:val="000000" w:themeColor="text1"/>
        </w:rPr>
        <w:t>hildcare</w:t>
      </w:r>
      <w:r w:rsidRPr="000C58EE">
        <w:rPr>
          <w:rFonts w:ascii="Times New Roman" w:hAnsi="Times New Roman" w:cs="Times New Roman"/>
          <w:color w:val="000000" w:themeColor="text1"/>
        </w:rPr>
        <w:t xml:space="preserve"> (average score of 15.6) </w:t>
      </w:r>
      <w:r w:rsidR="00C51EA5" w:rsidRPr="000C58EE">
        <w:rPr>
          <w:rFonts w:ascii="Times New Roman" w:hAnsi="Times New Roman" w:cs="Times New Roman"/>
          <w:color w:val="000000" w:themeColor="text1"/>
        </w:rPr>
        <w:t xml:space="preserve">and </w:t>
      </w:r>
      <w:r w:rsidR="00C51EA5" w:rsidRPr="000C58EE">
        <w:rPr>
          <w:rFonts w:ascii="Times New Roman" w:hAnsi="Times New Roman" w:cs="Times New Roman"/>
          <w:i/>
          <w:iCs/>
          <w:color w:val="000000" w:themeColor="text1"/>
        </w:rPr>
        <w:t>Safety</w:t>
      </w:r>
      <w:r w:rsidR="00C51EA5" w:rsidRPr="000C58EE">
        <w:rPr>
          <w:rFonts w:ascii="Times New Roman" w:hAnsi="Times New Roman" w:cs="Times New Roman"/>
          <w:color w:val="000000" w:themeColor="text1"/>
        </w:rPr>
        <w:t xml:space="preserve"> (34.4). In </w:t>
      </w:r>
      <w:r w:rsidR="00C51EA5" w:rsidRPr="000C58EE">
        <w:rPr>
          <w:rFonts w:ascii="Times New Roman" w:hAnsi="Times New Roman" w:cs="Times New Roman"/>
          <w:i/>
          <w:iCs/>
          <w:color w:val="000000" w:themeColor="text1"/>
        </w:rPr>
        <w:t>Childcare</w:t>
      </w:r>
      <w:r w:rsidR="00C51EA5" w:rsidRPr="000C58EE">
        <w:rPr>
          <w:rFonts w:ascii="Times New Roman" w:hAnsi="Times New Roman" w:cs="Times New Roman"/>
          <w:color w:val="000000" w:themeColor="text1"/>
        </w:rPr>
        <w:t xml:space="preserve">, </w:t>
      </w:r>
      <w:r w:rsidRPr="000C58EE">
        <w:rPr>
          <w:rFonts w:ascii="Times New Roman" w:hAnsi="Times New Roman" w:cs="Times New Roman"/>
          <w:color w:val="000000" w:themeColor="text1"/>
        </w:rPr>
        <w:t xml:space="preserve">4 out of 8 economies have </w:t>
      </w:r>
      <w:r w:rsidR="00840C04" w:rsidRPr="000C58EE">
        <w:rPr>
          <w:rFonts w:ascii="Times New Roman" w:hAnsi="Times New Roman" w:cs="Times New Roman"/>
          <w:color w:val="000000" w:themeColor="text1"/>
        </w:rPr>
        <w:t xml:space="preserve">an </w:t>
      </w:r>
      <w:r w:rsidRPr="000C58EE">
        <w:rPr>
          <w:rFonts w:ascii="Times New Roman" w:hAnsi="Times New Roman" w:cs="Times New Roman"/>
          <w:color w:val="000000" w:themeColor="text1"/>
        </w:rPr>
        <w:t>averag</w:t>
      </w:r>
      <w:r w:rsidRPr="3D36E2AE">
        <w:rPr>
          <w:rFonts w:ascii="Times New Roman" w:hAnsi="Times New Roman" w:cs="Times New Roman"/>
          <w:color w:val="000000" w:themeColor="text1"/>
        </w:rPr>
        <w:t xml:space="preserve">e </w:t>
      </w:r>
      <w:r w:rsidR="00DF7620" w:rsidRPr="3D36E2AE">
        <w:rPr>
          <w:rFonts w:ascii="Times New Roman" w:hAnsi="Times New Roman" w:cs="Times New Roman"/>
          <w:color w:val="000000" w:themeColor="text1"/>
        </w:rPr>
        <w:t xml:space="preserve">score </w:t>
      </w:r>
      <w:r w:rsidRPr="3D36E2AE">
        <w:rPr>
          <w:rFonts w:ascii="Times New Roman" w:hAnsi="Times New Roman" w:cs="Times New Roman"/>
          <w:color w:val="000000" w:themeColor="text1"/>
        </w:rPr>
        <w:t>of 0</w:t>
      </w:r>
      <w:r w:rsidR="00C51EA5" w:rsidRPr="3D36E2AE">
        <w:rPr>
          <w:rFonts w:ascii="Times New Roman" w:hAnsi="Times New Roman" w:cs="Times New Roman"/>
          <w:color w:val="000000" w:themeColor="text1"/>
        </w:rPr>
        <w:t xml:space="preserve">, which means </w:t>
      </w:r>
      <w:r w:rsidR="00EA61A1" w:rsidRPr="3D36E2AE">
        <w:rPr>
          <w:rFonts w:ascii="Times New Roman" w:hAnsi="Times New Roman" w:cs="Times New Roman"/>
          <w:color w:val="000000" w:themeColor="text1"/>
        </w:rPr>
        <w:t xml:space="preserve">that women in Bhutan, the Maldives, Sri Lanka and Pakistan do not have </w:t>
      </w:r>
      <w:r w:rsidR="004E31B2" w:rsidRPr="3D36E2AE">
        <w:rPr>
          <w:rFonts w:ascii="Times New Roman" w:hAnsi="Times New Roman" w:cs="Times New Roman"/>
          <w:color w:val="000000" w:themeColor="text1"/>
        </w:rPr>
        <w:t xml:space="preserve">access to affordable and quality childcare as measured by this indicator. In </w:t>
      </w:r>
      <w:r w:rsidR="004E31B2" w:rsidRPr="3D36E2AE">
        <w:rPr>
          <w:rFonts w:ascii="Times New Roman" w:hAnsi="Times New Roman" w:cs="Times New Roman"/>
          <w:i/>
          <w:iCs/>
          <w:color w:val="000000" w:themeColor="text1"/>
        </w:rPr>
        <w:t>Safety</w:t>
      </w:r>
      <w:r w:rsidR="004E31B2" w:rsidRPr="3D36E2AE">
        <w:rPr>
          <w:rFonts w:ascii="Times New Roman" w:hAnsi="Times New Roman" w:cs="Times New Roman"/>
          <w:color w:val="000000" w:themeColor="text1"/>
        </w:rPr>
        <w:t xml:space="preserve">, </w:t>
      </w:r>
      <w:r w:rsidR="00DE0C81" w:rsidRPr="3D36E2AE">
        <w:rPr>
          <w:rFonts w:ascii="Times New Roman" w:hAnsi="Times New Roman" w:cs="Times New Roman"/>
          <w:color w:val="000000" w:themeColor="text1"/>
        </w:rPr>
        <w:t xml:space="preserve">Bangladesh is the only economy that has an average score </w:t>
      </w:r>
      <w:r w:rsidR="00DE0C81" w:rsidRPr="000C58EE">
        <w:rPr>
          <w:rFonts w:ascii="Times New Roman" w:hAnsi="Times New Roman" w:cs="Times New Roman"/>
          <w:color w:val="000000" w:themeColor="text1"/>
        </w:rPr>
        <w:t xml:space="preserve">of 0 – the economy does not have legislation </w:t>
      </w:r>
      <w:r w:rsidR="002A4E6E" w:rsidRPr="000C58EE">
        <w:rPr>
          <w:rFonts w:ascii="Times New Roman" w:hAnsi="Times New Roman" w:cs="Times New Roman"/>
          <w:color w:val="000000" w:themeColor="text1"/>
        </w:rPr>
        <w:t>to address child marriage, sexual harassment, domestic vi</w:t>
      </w:r>
      <w:r w:rsidR="002A4E6E" w:rsidRPr="3D36E2AE">
        <w:rPr>
          <w:rFonts w:ascii="Times New Roman" w:hAnsi="Times New Roman" w:cs="Times New Roman"/>
          <w:color w:val="000000" w:themeColor="text1"/>
        </w:rPr>
        <w:t xml:space="preserve">olence </w:t>
      </w:r>
      <w:r w:rsidR="1B6D5426" w:rsidRPr="3D36E2AE">
        <w:rPr>
          <w:rFonts w:ascii="Times New Roman" w:hAnsi="Times New Roman" w:cs="Times New Roman"/>
          <w:color w:val="000000" w:themeColor="text1"/>
        </w:rPr>
        <w:t>and</w:t>
      </w:r>
      <w:r w:rsidR="002A4E6E" w:rsidRPr="3D36E2AE">
        <w:rPr>
          <w:rFonts w:ascii="Times New Roman" w:hAnsi="Times New Roman" w:cs="Times New Roman"/>
          <w:color w:val="000000" w:themeColor="text1"/>
        </w:rPr>
        <w:t xml:space="preserve"> femicide.</w:t>
      </w:r>
    </w:p>
    <w:p w14:paraId="68ECA92D" w14:textId="77777777" w:rsidR="00CC146E" w:rsidRPr="00636CEB" w:rsidRDefault="00CC146E" w:rsidP="00CC146E">
      <w:pPr>
        <w:pStyle w:val="Heading3"/>
      </w:pPr>
      <w:r>
        <w:lastRenderedPageBreak/>
        <w:t>Supportive frameworks</w:t>
      </w:r>
    </w:p>
    <w:p w14:paraId="119EC466" w14:textId="7C1DFB0D" w:rsidR="000C58EE" w:rsidRDefault="00E765E1" w:rsidP="00E765E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6A5F9E">
        <w:rPr>
          <w:rFonts w:ascii="Times New Roman" w:hAnsi="Times New Roman" w:cs="Times New Roman"/>
          <w:b/>
          <w:bCs/>
          <w:i/>
          <w:iCs/>
          <w:color w:val="000000" w:themeColor="text1"/>
        </w:rPr>
        <w:t>Women, Business and the Law</w:t>
      </w:r>
      <w:r w:rsidRPr="0019385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636CEB">
        <w:rPr>
          <w:rFonts w:ascii="Times New Roman" w:hAnsi="Times New Roman" w:cs="Times New Roman"/>
          <w:b/>
          <w:bCs/>
          <w:color w:val="000000" w:themeColor="text1"/>
        </w:rPr>
        <w:t>supportive frameworks</w:t>
      </w:r>
      <w:r w:rsidRPr="00636CEB">
        <w:rPr>
          <w:rFonts w:ascii="Times New Roman" w:hAnsi="Times New Roman" w:cs="Times New Roman"/>
          <w:color w:val="000000" w:themeColor="text1"/>
        </w:rPr>
        <w:t xml:space="preserve"> assess </w:t>
      </w:r>
      <w:r>
        <w:rPr>
          <w:rFonts w:ascii="Times New Roman" w:hAnsi="Times New Roman" w:cs="Times New Roman"/>
          <w:color w:val="000000" w:themeColor="text1"/>
        </w:rPr>
        <w:t xml:space="preserve">the existence of policy mechanisms to implement a specific right, to provide a benefit or enforce a protection. </w:t>
      </w:r>
    </w:p>
    <w:p w14:paraId="327F05B9" w14:textId="21052C3C" w:rsidR="00E765E1" w:rsidRDefault="00E765E1" w:rsidP="00E765E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The regional average for </w:t>
      </w:r>
      <w:r w:rsidR="009D7B56">
        <w:rPr>
          <w:rFonts w:ascii="Times New Roman" w:hAnsi="Times New Roman" w:cs="Times New Roman"/>
          <w:color w:val="000000" w:themeColor="text1"/>
        </w:rPr>
        <w:t>South Asia</w:t>
      </w:r>
      <w:r>
        <w:rPr>
          <w:rFonts w:ascii="Times New Roman" w:hAnsi="Times New Roman" w:cs="Times New Roman"/>
          <w:color w:val="000000" w:themeColor="text1"/>
        </w:rPr>
        <w:t xml:space="preserve"> in the supportive frameworks index is </w:t>
      </w:r>
      <w:r>
        <w:rPr>
          <w:rFonts w:ascii="Times New Roman" w:hAnsi="Times New Roman" w:cs="Times New Roman"/>
          <w:b/>
          <w:bCs/>
          <w:color w:val="000000" w:themeColor="text1"/>
        </w:rPr>
        <w:t>31.1</w:t>
      </w:r>
      <w:r w:rsidRPr="00636CEB">
        <w:rPr>
          <w:rFonts w:ascii="Times New Roman" w:hAnsi="Times New Roman" w:cs="Times New Roman"/>
          <w:color w:val="000000" w:themeColor="text1"/>
        </w:rPr>
        <w:t xml:space="preserve">, </w:t>
      </w:r>
      <w:r w:rsidR="009C39E9">
        <w:rPr>
          <w:rFonts w:ascii="Times New Roman" w:hAnsi="Times New Roman" w:cs="Times New Roman"/>
          <w:color w:val="000000" w:themeColor="text1"/>
        </w:rPr>
        <w:t>about 8 points</w:t>
      </w:r>
      <w:r>
        <w:rPr>
          <w:rFonts w:ascii="Times New Roman" w:hAnsi="Times New Roman" w:cs="Times New Roman"/>
          <w:color w:val="000000" w:themeColor="text1"/>
        </w:rPr>
        <w:t xml:space="preserve"> below </w:t>
      </w:r>
      <w:r w:rsidRPr="00636CEB">
        <w:rPr>
          <w:rFonts w:ascii="Times New Roman" w:hAnsi="Times New Roman" w:cs="Times New Roman"/>
          <w:color w:val="000000" w:themeColor="text1"/>
        </w:rPr>
        <w:t xml:space="preserve">the global average of 39.5. </w:t>
      </w:r>
    </w:p>
    <w:p w14:paraId="1949A508" w14:textId="7A7CFE4E" w:rsidR="00DB7866" w:rsidRDefault="00F70931" w:rsidP="00E765E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3D36E2AE">
        <w:rPr>
          <w:rFonts w:ascii="Times New Roman" w:hAnsi="Times New Roman" w:cs="Times New Roman"/>
          <w:color w:val="000000" w:themeColor="text1"/>
        </w:rPr>
        <w:t>India (54.2) and Nepal (43.3) have the highest scores in the supportive frameworks index in SAR,</w:t>
      </w:r>
      <w:r w:rsidR="00E54550" w:rsidRPr="3D36E2AE">
        <w:rPr>
          <w:rFonts w:ascii="Times New Roman" w:hAnsi="Times New Roman" w:cs="Times New Roman"/>
          <w:color w:val="000000" w:themeColor="text1"/>
        </w:rPr>
        <w:t xml:space="preserve"> </w:t>
      </w:r>
      <w:r w:rsidRPr="3D36E2AE">
        <w:rPr>
          <w:rFonts w:ascii="Times New Roman" w:hAnsi="Times New Roman" w:cs="Times New Roman"/>
          <w:color w:val="000000" w:themeColor="text1"/>
        </w:rPr>
        <w:t xml:space="preserve">while </w:t>
      </w:r>
      <w:r w:rsidR="00AE3AC7" w:rsidRPr="3D36E2AE">
        <w:rPr>
          <w:rFonts w:ascii="Times New Roman" w:hAnsi="Times New Roman" w:cs="Times New Roman"/>
          <w:color w:val="000000" w:themeColor="text1"/>
        </w:rPr>
        <w:t>Bhutan (15) and Afghanistan (13.3) have the lowest scores.</w:t>
      </w:r>
    </w:p>
    <w:p w14:paraId="07EC9DCA" w14:textId="43CDECA2" w:rsidR="0082624C" w:rsidRPr="003B2E3F" w:rsidRDefault="00E54550" w:rsidP="000D21F6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3D36E2AE">
        <w:rPr>
          <w:rFonts w:ascii="Times New Roman" w:hAnsi="Times New Roman" w:cs="Times New Roman"/>
          <w:color w:val="000000" w:themeColor="text1"/>
        </w:rPr>
        <w:t>When it comes to implementation of the law, countries in the South Asia region perform relatively well in</w:t>
      </w:r>
      <w:r w:rsidR="00130E5D" w:rsidRPr="3D36E2AE">
        <w:rPr>
          <w:rFonts w:ascii="Times New Roman" w:hAnsi="Times New Roman" w:cs="Times New Roman"/>
          <w:color w:val="000000" w:themeColor="text1"/>
        </w:rPr>
        <w:t xml:space="preserve"> the</w:t>
      </w:r>
      <w:r w:rsidRPr="3D36E2AE">
        <w:rPr>
          <w:rFonts w:ascii="Times New Roman" w:hAnsi="Times New Roman" w:cs="Times New Roman"/>
          <w:color w:val="000000" w:themeColor="text1"/>
        </w:rPr>
        <w:t xml:space="preserve"> </w:t>
      </w:r>
      <w:r w:rsidR="00763ADA" w:rsidRPr="3D36E2AE">
        <w:rPr>
          <w:rFonts w:ascii="Times New Roman" w:hAnsi="Times New Roman" w:cs="Times New Roman"/>
          <w:i/>
          <w:iCs/>
          <w:color w:val="000000" w:themeColor="text1"/>
        </w:rPr>
        <w:t>Mobility</w:t>
      </w:r>
      <w:r w:rsidR="00763ADA" w:rsidRPr="3D36E2AE">
        <w:rPr>
          <w:rFonts w:ascii="Times New Roman" w:hAnsi="Times New Roman" w:cs="Times New Roman"/>
          <w:color w:val="000000" w:themeColor="text1"/>
        </w:rPr>
        <w:t xml:space="preserve"> (</w:t>
      </w:r>
      <w:r w:rsidR="0021531E" w:rsidRPr="3D36E2AE">
        <w:rPr>
          <w:rFonts w:ascii="Times New Roman" w:hAnsi="Times New Roman" w:cs="Times New Roman"/>
          <w:color w:val="000000" w:themeColor="text1"/>
        </w:rPr>
        <w:t xml:space="preserve">66.7) and </w:t>
      </w:r>
      <w:r w:rsidR="0021531E" w:rsidRPr="3D36E2AE">
        <w:rPr>
          <w:rFonts w:ascii="Times New Roman" w:hAnsi="Times New Roman" w:cs="Times New Roman"/>
          <w:i/>
          <w:iCs/>
          <w:color w:val="000000" w:themeColor="text1"/>
        </w:rPr>
        <w:t>Marriage</w:t>
      </w:r>
      <w:r w:rsidR="0021531E" w:rsidRPr="3D36E2AE">
        <w:rPr>
          <w:rFonts w:ascii="Times New Roman" w:hAnsi="Times New Roman" w:cs="Times New Roman"/>
          <w:color w:val="000000" w:themeColor="text1"/>
        </w:rPr>
        <w:t xml:space="preserve"> (62.5)</w:t>
      </w:r>
      <w:r w:rsidR="00130E5D" w:rsidRPr="3D36E2AE">
        <w:rPr>
          <w:rFonts w:ascii="Times New Roman" w:hAnsi="Times New Roman" w:cs="Times New Roman"/>
          <w:color w:val="000000" w:themeColor="text1"/>
        </w:rPr>
        <w:t xml:space="preserve"> indicators. </w:t>
      </w:r>
    </w:p>
    <w:p w14:paraId="2CF3DAD2" w14:textId="2208E067" w:rsidR="00247423" w:rsidRPr="003B2E3F" w:rsidRDefault="000D21F6" w:rsidP="000D21F6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3D36E2AE">
        <w:rPr>
          <w:rFonts w:ascii="Times New Roman" w:hAnsi="Times New Roman" w:cs="Times New Roman"/>
          <w:color w:val="000000" w:themeColor="text1"/>
        </w:rPr>
        <w:t xml:space="preserve">On </w:t>
      </w:r>
      <w:r w:rsidRPr="3D36E2AE">
        <w:rPr>
          <w:rFonts w:ascii="Times New Roman" w:hAnsi="Times New Roman" w:cs="Times New Roman"/>
          <w:i/>
          <w:iCs/>
          <w:color w:val="000000" w:themeColor="text1"/>
        </w:rPr>
        <w:t>Mobility</w:t>
      </w:r>
      <w:r w:rsidRPr="3D36E2AE">
        <w:rPr>
          <w:rFonts w:ascii="Times New Roman" w:hAnsi="Times New Roman" w:cs="Times New Roman"/>
          <w:color w:val="000000" w:themeColor="text1"/>
        </w:rPr>
        <w:t xml:space="preserve">, for example, </w:t>
      </w:r>
      <w:r w:rsidR="00247423" w:rsidRPr="3D36E2AE">
        <w:rPr>
          <w:rFonts w:ascii="Times New Roman" w:hAnsi="Times New Roman" w:cs="Times New Roman"/>
          <w:color w:val="000000" w:themeColor="text1"/>
        </w:rPr>
        <w:t>the application processes for official identity documents are the same for a woman and a man</w:t>
      </w:r>
      <w:r w:rsidR="0082624C" w:rsidRPr="3D36E2AE">
        <w:rPr>
          <w:rFonts w:ascii="Times New Roman" w:hAnsi="Times New Roman" w:cs="Times New Roman"/>
          <w:color w:val="000000" w:themeColor="text1"/>
        </w:rPr>
        <w:t xml:space="preserve"> in all economies. </w:t>
      </w:r>
      <w:r w:rsidR="00FA6AE8" w:rsidRPr="3D36E2AE">
        <w:rPr>
          <w:rFonts w:ascii="Times New Roman" w:hAnsi="Times New Roman" w:cs="Times New Roman"/>
          <w:color w:val="000000" w:themeColor="text1"/>
        </w:rPr>
        <w:t xml:space="preserve">On </w:t>
      </w:r>
      <w:r w:rsidR="00FA6AE8" w:rsidRPr="3D36E2AE">
        <w:rPr>
          <w:rFonts w:ascii="Times New Roman" w:hAnsi="Times New Roman" w:cs="Times New Roman"/>
          <w:i/>
          <w:iCs/>
          <w:color w:val="000000" w:themeColor="text1"/>
        </w:rPr>
        <w:t>Marriage</w:t>
      </w:r>
      <w:r w:rsidR="00FA6AE8" w:rsidRPr="3D36E2AE">
        <w:rPr>
          <w:rFonts w:ascii="Times New Roman" w:hAnsi="Times New Roman" w:cs="Times New Roman"/>
          <w:color w:val="000000" w:themeColor="text1"/>
        </w:rPr>
        <w:t xml:space="preserve">, </w:t>
      </w:r>
      <w:r w:rsidR="007578D1" w:rsidRPr="3D36E2AE">
        <w:rPr>
          <w:rFonts w:ascii="Times New Roman" w:hAnsi="Times New Roman" w:cs="Times New Roman"/>
          <w:color w:val="000000" w:themeColor="text1"/>
        </w:rPr>
        <w:t xml:space="preserve">6 economies </w:t>
      </w:r>
      <w:r w:rsidR="00BC311C" w:rsidRPr="3D36E2AE">
        <w:rPr>
          <w:rFonts w:ascii="Times New Roman" w:hAnsi="Times New Roman" w:cs="Times New Roman"/>
          <w:color w:val="000000" w:themeColor="text1"/>
        </w:rPr>
        <w:t xml:space="preserve">have a specialized family court, 5 economies provide legal aid for family law disputes, </w:t>
      </w:r>
      <w:r w:rsidR="17AE642E" w:rsidRPr="3D36E2AE">
        <w:rPr>
          <w:rFonts w:ascii="Times New Roman" w:hAnsi="Times New Roman" w:cs="Times New Roman"/>
          <w:color w:val="000000" w:themeColor="text1"/>
        </w:rPr>
        <w:t xml:space="preserve">and </w:t>
      </w:r>
      <w:r w:rsidR="00BC311C" w:rsidRPr="3D36E2AE">
        <w:rPr>
          <w:rFonts w:ascii="Times New Roman" w:hAnsi="Times New Roman" w:cs="Times New Roman"/>
          <w:color w:val="000000" w:themeColor="text1"/>
        </w:rPr>
        <w:t>4 economies have a fast-track process or procedure for family law disputes.</w:t>
      </w:r>
    </w:p>
    <w:p w14:paraId="2A15F161" w14:textId="39D324E5" w:rsidR="00247423" w:rsidRDefault="00450D70" w:rsidP="00C60674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3D36E2AE">
        <w:rPr>
          <w:rFonts w:ascii="Times New Roman" w:hAnsi="Times New Roman" w:cs="Times New Roman"/>
          <w:color w:val="000000" w:themeColor="text1"/>
        </w:rPr>
        <w:t xml:space="preserve">In contrast, larger implementation gaps are observed in </w:t>
      </w:r>
      <w:r w:rsidRPr="3D36E2AE">
        <w:rPr>
          <w:rFonts w:ascii="Times New Roman" w:hAnsi="Times New Roman" w:cs="Times New Roman"/>
          <w:i/>
          <w:iCs/>
          <w:color w:val="000000" w:themeColor="text1"/>
        </w:rPr>
        <w:t>Workplace</w:t>
      </w:r>
      <w:r w:rsidRPr="3D36E2AE">
        <w:rPr>
          <w:rFonts w:ascii="Times New Roman" w:hAnsi="Times New Roman" w:cs="Times New Roman"/>
          <w:color w:val="000000" w:themeColor="text1"/>
        </w:rPr>
        <w:t xml:space="preserve"> (</w:t>
      </w:r>
      <w:r w:rsidR="00E562D8" w:rsidRPr="3D36E2AE">
        <w:rPr>
          <w:rFonts w:ascii="Times New Roman" w:hAnsi="Times New Roman" w:cs="Times New Roman"/>
          <w:color w:val="000000" w:themeColor="text1"/>
        </w:rPr>
        <w:t xml:space="preserve">4.2) and </w:t>
      </w:r>
      <w:r w:rsidR="00E562D8" w:rsidRPr="3D36E2AE">
        <w:rPr>
          <w:rFonts w:ascii="Times New Roman" w:hAnsi="Times New Roman" w:cs="Times New Roman"/>
          <w:i/>
          <w:iCs/>
          <w:color w:val="000000" w:themeColor="text1"/>
        </w:rPr>
        <w:t>Childcare</w:t>
      </w:r>
      <w:r w:rsidR="00E562D8" w:rsidRPr="3D36E2AE">
        <w:rPr>
          <w:rFonts w:ascii="Times New Roman" w:hAnsi="Times New Roman" w:cs="Times New Roman"/>
          <w:color w:val="000000" w:themeColor="text1"/>
        </w:rPr>
        <w:t xml:space="preserve"> (6.3) indicators.</w:t>
      </w:r>
      <w:r w:rsidR="00C60674" w:rsidRPr="3D36E2AE">
        <w:rPr>
          <w:rFonts w:ascii="Times New Roman" w:hAnsi="Times New Roman" w:cs="Times New Roman"/>
          <w:color w:val="000000" w:themeColor="text1"/>
        </w:rPr>
        <w:t xml:space="preserve"> For example, under the </w:t>
      </w:r>
      <w:r w:rsidR="00C60674" w:rsidRPr="3D36E2AE">
        <w:rPr>
          <w:rFonts w:ascii="Times New Roman" w:hAnsi="Times New Roman" w:cs="Times New Roman"/>
          <w:i/>
          <w:iCs/>
          <w:color w:val="000000" w:themeColor="text1"/>
        </w:rPr>
        <w:t>Workplace</w:t>
      </w:r>
      <w:r w:rsidR="00C60674" w:rsidRPr="3D36E2AE">
        <w:rPr>
          <w:rFonts w:ascii="Times New Roman" w:hAnsi="Times New Roman" w:cs="Times New Roman"/>
          <w:color w:val="000000" w:themeColor="text1"/>
        </w:rPr>
        <w:t xml:space="preserve"> indicator, no economy in SAR </w:t>
      </w:r>
      <w:r w:rsidR="007718F8" w:rsidRPr="3D36E2AE">
        <w:rPr>
          <w:rFonts w:ascii="Times New Roman" w:hAnsi="Times New Roman" w:cs="Times New Roman"/>
          <w:color w:val="000000" w:themeColor="text1"/>
        </w:rPr>
        <w:t xml:space="preserve">has published </w:t>
      </w:r>
      <w:r w:rsidR="00247423" w:rsidRPr="3D36E2AE">
        <w:rPr>
          <w:rFonts w:ascii="Times New Roman" w:hAnsi="Times New Roman" w:cs="Times New Roman"/>
          <w:color w:val="000000" w:themeColor="text1"/>
        </w:rPr>
        <w:t>guideline</w:t>
      </w:r>
      <w:r w:rsidR="007718F8" w:rsidRPr="3D36E2AE">
        <w:rPr>
          <w:rFonts w:ascii="Times New Roman" w:hAnsi="Times New Roman" w:cs="Times New Roman"/>
          <w:color w:val="000000" w:themeColor="text1"/>
        </w:rPr>
        <w:t xml:space="preserve">s </w:t>
      </w:r>
      <w:r w:rsidR="00247423" w:rsidRPr="3D36E2AE">
        <w:rPr>
          <w:rFonts w:ascii="Times New Roman" w:hAnsi="Times New Roman" w:cs="Times New Roman"/>
          <w:color w:val="000000" w:themeColor="text1"/>
        </w:rPr>
        <w:t xml:space="preserve">on nondiscrimination based on gender in recruitment nor </w:t>
      </w:r>
      <w:r w:rsidR="0C378B99" w:rsidRPr="3D36E2AE">
        <w:rPr>
          <w:rFonts w:ascii="Times New Roman" w:hAnsi="Times New Roman" w:cs="Times New Roman"/>
          <w:color w:val="000000" w:themeColor="text1"/>
        </w:rPr>
        <w:t xml:space="preserve">guidelines on </w:t>
      </w:r>
      <w:r w:rsidR="00247423" w:rsidRPr="3D36E2AE">
        <w:rPr>
          <w:rFonts w:ascii="Times New Roman" w:hAnsi="Times New Roman" w:cs="Times New Roman"/>
          <w:color w:val="000000" w:themeColor="text1"/>
        </w:rPr>
        <w:t xml:space="preserve">flexible work arrangements. </w:t>
      </w:r>
      <w:r w:rsidR="007718F8" w:rsidRPr="3D36E2AE">
        <w:rPr>
          <w:rFonts w:ascii="Times New Roman" w:hAnsi="Times New Roman" w:cs="Times New Roman"/>
          <w:color w:val="000000" w:themeColor="text1"/>
        </w:rPr>
        <w:t>Only India has a specialized body tasked with receiving complaints about gender-based discrimination in employment.</w:t>
      </w:r>
    </w:p>
    <w:sectPr w:rsidR="0024742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FFBF6" w14:textId="77777777" w:rsidR="009024D0" w:rsidRDefault="009024D0" w:rsidP="007960B6">
      <w:pPr>
        <w:spacing w:after="0" w:line="240" w:lineRule="auto"/>
      </w:pPr>
      <w:r>
        <w:separator/>
      </w:r>
    </w:p>
  </w:endnote>
  <w:endnote w:type="continuationSeparator" w:id="0">
    <w:p w14:paraId="39779112" w14:textId="77777777" w:rsidR="009024D0" w:rsidRDefault="009024D0" w:rsidP="007960B6">
      <w:pPr>
        <w:spacing w:after="0" w:line="240" w:lineRule="auto"/>
      </w:pPr>
      <w:r>
        <w:continuationSeparator/>
      </w:r>
    </w:p>
  </w:endnote>
  <w:endnote w:type="continuationNotice" w:id="1">
    <w:p w14:paraId="5403BE10" w14:textId="77777777" w:rsidR="009024D0" w:rsidRDefault="009024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BEC43C" w14:paraId="63BE3DAA" w14:textId="77777777" w:rsidTr="3D36E2AE">
      <w:trPr>
        <w:trHeight w:val="300"/>
      </w:trPr>
      <w:tc>
        <w:tcPr>
          <w:tcW w:w="3120" w:type="dxa"/>
        </w:tcPr>
        <w:p w14:paraId="2091F7B0" w14:textId="176DADA9" w:rsidR="54BEC43C" w:rsidRDefault="54BEC43C" w:rsidP="3D36E2AE">
          <w:pPr>
            <w:pStyle w:val="Header"/>
            <w:ind w:left="-115"/>
          </w:pPr>
        </w:p>
      </w:tc>
      <w:tc>
        <w:tcPr>
          <w:tcW w:w="3120" w:type="dxa"/>
        </w:tcPr>
        <w:p w14:paraId="3832EB80" w14:textId="09CEFDD0" w:rsidR="54BEC43C" w:rsidRDefault="54BEC43C" w:rsidP="3D36E2AE">
          <w:pPr>
            <w:pStyle w:val="Header"/>
            <w:jc w:val="center"/>
          </w:pPr>
        </w:p>
      </w:tc>
      <w:tc>
        <w:tcPr>
          <w:tcW w:w="3120" w:type="dxa"/>
        </w:tcPr>
        <w:p w14:paraId="101B915E" w14:textId="430794C9" w:rsidR="54BEC43C" w:rsidRDefault="54BEC43C" w:rsidP="3D36E2AE">
          <w:pPr>
            <w:pStyle w:val="Header"/>
            <w:ind w:right="-115"/>
            <w:jc w:val="right"/>
          </w:pPr>
        </w:p>
      </w:tc>
    </w:tr>
  </w:tbl>
  <w:p w14:paraId="14EF7AAE" w14:textId="40BF47A9" w:rsidR="54BEC43C" w:rsidRDefault="54BEC43C" w:rsidP="3D36E2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49880" w14:textId="77777777" w:rsidR="009024D0" w:rsidRDefault="009024D0" w:rsidP="007960B6">
      <w:pPr>
        <w:spacing w:after="0" w:line="240" w:lineRule="auto"/>
      </w:pPr>
      <w:r>
        <w:separator/>
      </w:r>
    </w:p>
  </w:footnote>
  <w:footnote w:type="continuationSeparator" w:id="0">
    <w:p w14:paraId="0E49D902" w14:textId="77777777" w:rsidR="009024D0" w:rsidRDefault="009024D0" w:rsidP="007960B6">
      <w:pPr>
        <w:spacing w:after="0" w:line="240" w:lineRule="auto"/>
      </w:pPr>
      <w:r>
        <w:continuationSeparator/>
      </w:r>
    </w:p>
  </w:footnote>
  <w:footnote w:type="continuationNotice" w:id="1">
    <w:p w14:paraId="04005AE8" w14:textId="77777777" w:rsidR="009024D0" w:rsidRDefault="009024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A75DC" w14:textId="7A6B17EE" w:rsidR="00844D09" w:rsidRPr="006A2081" w:rsidRDefault="00844D09" w:rsidP="006A2081">
    <w:pPr>
      <w:tabs>
        <w:tab w:val="center" w:pos="4680"/>
        <w:tab w:val="right" w:pos="9360"/>
      </w:tabs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37A"/>
    <w:multiLevelType w:val="multilevel"/>
    <w:tmpl w:val="1ED4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142DED"/>
    <w:multiLevelType w:val="multilevel"/>
    <w:tmpl w:val="5852DD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11649E9"/>
    <w:multiLevelType w:val="hybridMultilevel"/>
    <w:tmpl w:val="CE7846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538BE"/>
    <w:multiLevelType w:val="multilevel"/>
    <w:tmpl w:val="16A86F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A690F6A"/>
    <w:multiLevelType w:val="hybridMultilevel"/>
    <w:tmpl w:val="E13E9D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73AEC"/>
    <w:multiLevelType w:val="hybridMultilevel"/>
    <w:tmpl w:val="285E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wM7IwNTYwMTEzMDVX0lEKTi0uzszPAykwqgUAi7UAHCwAAAA="/>
  </w:docVars>
  <w:rsids>
    <w:rsidRoot w:val="00C831D2"/>
    <w:rsid w:val="00033B85"/>
    <w:rsid w:val="000365ED"/>
    <w:rsid w:val="000459CF"/>
    <w:rsid w:val="000477B9"/>
    <w:rsid w:val="0005069D"/>
    <w:rsid w:val="000578C8"/>
    <w:rsid w:val="00062FB5"/>
    <w:rsid w:val="00076449"/>
    <w:rsid w:val="00076FAD"/>
    <w:rsid w:val="00092B70"/>
    <w:rsid w:val="000A0ADA"/>
    <w:rsid w:val="000A332D"/>
    <w:rsid w:val="000B0B1C"/>
    <w:rsid w:val="000C1AEA"/>
    <w:rsid w:val="000C58EE"/>
    <w:rsid w:val="000D21F6"/>
    <w:rsid w:val="000E291E"/>
    <w:rsid w:val="000F1087"/>
    <w:rsid w:val="000F4DF6"/>
    <w:rsid w:val="00122B8C"/>
    <w:rsid w:val="001233D8"/>
    <w:rsid w:val="0012688F"/>
    <w:rsid w:val="00130E5D"/>
    <w:rsid w:val="001310D2"/>
    <w:rsid w:val="00140495"/>
    <w:rsid w:val="0014417C"/>
    <w:rsid w:val="00156B84"/>
    <w:rsid w:val="0017598A"/>
    <w:rsid w:val="001805BA"/>
    <w:rsid w:val="001822F3"/>
    <w:rsid w:val="00187108"/>
    <w:rsid w:val="001915AE"/>
    <w:rsid w:val="00197A79"/>
    <w:rsid w:val="001A16F0"/>
    <w:rsid w:val="001A2274"/>
    <w:rsid w:val="001A41C9"/>
    <w:rsid w:val="001A4C12"/>
    <w:rsid w:val="001A6529"/>
    <w:rsid w:val="001B3AEA"/>
    <w:rsid w:val="001B3E81"/>
    <w:rsid w:val="001B6205"/>
    <w:rsid w:val="001D18FF"/>
    <w:rsid w:val="001D2ECC"/>
    <w:rsid w:val="001E178D"/>
    <w:rsid w:val="001F2CCE"/>
    <w:rsid w:val="00200E29"/>
    <w:rsid w:val="002027C8"/>
    <w:rsid w:val="00203A59"/>
    <w:rsid w:val="0021531E"/>
    <w:rsid w:val="0022009F"/>
    <w:rsid w:val="00232AE4"/>
    <w:rsid w:val="00245358"/>
    <w:rsid w:val="002456C2"/>
    <w:rsid w:val="00247423"/>
    <w:rsid w:val="002602B6"/>
    <w:rsid w:val="002633EF"/>
    <w:rsid w:val="00286F2E"/>
    <w:rsid w:val="002A4E6E"/>
    <w:rsid w:val="002A67CB"/>
    <w:rsid w:val="002A6F2A"/>
    <w:rsid w:val="002B0146"/>
    <w:rsid w:val="002C104F"/>
    <w:rsid w:val="002C1DAD"/>
    <w:rsid w:val="002C3DF9"/>
    <w:rsid w:val="002C483F"/>
    <w:rsid w:val="002D04B5"/>
    <w:rsid w:val="002D24AF"/>
    <w:rsid w:val="002D38DB"/>
    <w:rsid w:val="002E05A1"/>
    <w:rsid w:val="002E47F9"/>
    <w:rsid w:val="002E5ADA"/>
    <w:rsid w:val="002F0F17"/>
    <w:rsid w:val="00307751"/>
    <w:rsid w:val="003152BB"/>
    <w:rsid w:val="003167F0"/>
    <w:rsid w:val="00317E69"/>
    <w:rsid w:val="00325141"/>
    <w:rsid w:val="00343E05"/>
    <w:rsid w:val="0034722D"/>
    <w:rsid w:val="00352A0F"/>
    <w:rsid w:val="003536A6"/>
    <w:rsid w:val="00353AC0"/>
    <w:rsid w:val="00356DED"/>
    <w:rsid w:val="00374708"/>
    <w:rsid w:val="003926AD"/>
    <w:rsid w:val="003B2E3F"/>
    <w:rsid w:val="003B46B4"/>
    <w:rsid w:val="003D59CA"/>
    <w:rsid w:val="003E5D13"/>
    <w:rsid w:val="003F0CDB"/>
    <w:rsid w:val="003F53C6"/>
    <w:rsid w:val="003F7FB4"/>
    <w:rsid w:val="004049D2"/>
    <w:rsid w:val="0042143E"/>
    <w:rsid w:val="00425ACA"/>
    <w:rsid w:val="00425E54"/>
    <w:rsid w:val="0043726C"/>
    <w:rsid w:val="004430DD"/>
    <w:rsid w:val="00450367"/>
    <w:rsid w:val="00450D70"/>
    <w:rsid w:val="00454116"/>
    <w:rsid w:val="004565F0"/>
    <w:rsid w:val="00470A19"/>
    <w:rsid w:val="00474EC4"/>
    <w:rsid w:val="004755B4"/>
    <w:rsid w:val="0047620C"/>
    <w:rsid w:val="00480CB5"/>
    <w:rsid w:val="0049184F"/>
    <w:rsid w:val="00494C21"/>
    <w:rsid w:val="004A4FFF"/>
    <w:rsid w:val="004D25A5"/>
    <w:rsid w:val="004D4B18"/>
    <w:rsid w:val="004E31B2"/>
    <w:rsid w:val="004F26DF"/>
    <w:rsid w:val="004F3386"/>
    <w:rsid w:val="004F46BB"/>
    <w:rsid w:val="004F4ABA"/>
    <w:rsid w:val="005119DC"/>
    <w:rsid w:val="00516648"/>
    <w:rsid w:val="0051734D"/>
    <w:rsid w:val="00517A74"/>
    <w:rsid w:val="00517F71"/>
    <w:rsid w:val="00530866"/>
    <w:rsid w:val="0054066E"/>
    <w:rsid w:val="00550B9C"/>
    <w:rsid w:val="00553EC6"/>
    <w:rsid w:val="00566237"/>
    <w:rsid w:val="00566B0C"/>
    <w:rsid w:val="0057117C"/>
    <w:rsid w:val="005806E7"/>
    <w:rsid w:val="005818F4"/>
    <w:rsid w:val="00582778"/>
    <w:rsid w:val="00582EAA"/>
    <w:rsid w:val="00586CFD"/>
    <w:rsid w:val="00591B8B"/>
    <w:rsid w:val="0059465A"/>
    <w:rsid w:val="00597F98"/>
    <w:rsid w:val="005A07CF"/>
    <w:rsid w:val="005B613C"/>
    <w:rsid w:val="005F5C77"/>
    <w:rsid w:val="00602231"/>
    <w:rsid w:val="00617986"/>
    <w:rsid w:val="006227C5"/>
    <w:rsid w:val="006346D2"/>
    <w:rsid w:val="00647774"/>
    <w:rsid w:val="00657A0A"/>
    <w:rsid w:val="00660C0D"/>
    <w:rsid w:val="006762AD"/>
    <w:rsid w:val="00683748"/>
    <w:rsid w:val="006936FC"/>
    <w:rsid w:val="006A2081"/>
    <w:rsid w:val="006A5275"/>
    <w:rsid w:val="006B7603"/>
    <w:rsid w:val="006E4472"/>
    <w:rsid w:val="006F06CA"/>
    <w:rsid w:val="006F27FB"/>
    <w:rsid w:val="006F3451"/>
    <w:rsid w:val="007124F6"/>
    <w:rsid w:val="0071467D"/>
    <w:rsid w:val="00715F76"/>
    <w:rsid w:val="00716644"/>
    <w:rsid w:val="007214AA"/>
    <w:rsid w:val="00730B54"/>
    <w:rsid w:val="00755913"/>
    <w:rsid w:val="00756B78"/>
    <w:rsid w:val="007578D1"/>
    <w:rsid w:val="007579C5"/>
    <w:rsid w:val="00761039"/>
    <w:rsid w:val="00763ADA"/>
    <w:rsid w:val="007650D8"/>
    <w:rsid w:val="0076528B"/>
    <w:rsid w:val="007703F5"/>
    <w:rsid w:val="007718F8"/>
    <w:rsid w:val="00780862"/>
    <w:rsid w:val="007960B6"/>
    <w:rsid w:val="007A625F"/>
    <w:rsid w:val="007B480A"/>
    <w:rsid w:val="007D5768"/>
    <w:rsid w:val="007D6EBC"/>
    <w:rsid w:val="007F7375"/>
    <w:rsid w:val="00800532"/>
    <w:rsid w:val="00810AE0"/>
    <w:rsid w:val="0081262A"/>
    <w:rsid w:val="008157E3"/>
    <w:rsid w:val="008205B0"/>
    <w:rsid w:val="008229D2"/>
    <w:rsid w:val="0082624C"/>
    <w:rsid w:val="00827D55"/>
    <w:rsid w:val="008330D0"/>
    <w:rsid w:val="00833554"/>
    <w:rsid w:val="00840C04"/>
    <w:rsid w:val="00844D09"/>
    <w:rsid w:val="00847EA7"/>
    <w:rsid w:val="00857E09"/>
    <w:rsid w:val="0086109D"/>
    <w:rsid w:val="008656E8"/>
    <w:rsid w:val="00875DB2"/>
    <w:rsid w:val="00876D55"/>
    <w:rsid w:val="0088316C"/>
    <w:rsid w:val="00893D24"/>
    <w:rsid w:val="00897897"/>
    <w:rsid w:val="008A2063"/>
    <w:rsid w:val="008B0F53"/>
    <w:rsid w:val="008B1408"/>
    <w:rsid w:val="008B5600"/>
    <w:rsid w:val="008C1AF3"/>
    <w:rsid w:val="008D6254"/>
    <w:rsid w:val="008E1E8F"/>
    <w:rsid w:val="008E2ABE"/>
    <w:rsid w:val="008F007B"/>
    <w:rsid w:val="009024D0"/>
    <w:rsid w:val="00913229"/>
    <w:rsid w:val="00932B6F"/>
    <w:rsid w:val="00932E3C"/>
    <w:rsid w:val="00935ABB"/>
    <w:rsid w:val="00940929"/>
    <w:rsid w:val="00944D0D"/>
    <w:rsid w:val="009535A2"/>
    <w:rsid w:val="00980509"/>
    <w:rsid w:val="0099726B"/>
    <w:rsid w:val="009A6C81"/>
    <w:rsid w:val="009B4960"/>
    <w:rsid w:val="009C39E9"/>
    <w:rsid w:val="009C4ED3"/>
    <w:rsid w:val="009D3C43"/>
    <w:rsid w:val="009D7B56"/>
    <w:rsid w:val="009E279D"/>
    <w:rsid w:val="009F63B0"/>
    <w:rsid w:val="00A023AA"/>
    <w:rsid w:val="00A0415D"/>
    <w:rsid w:val="00A327AA"/>
    <w:rsid w:val="00A37215"/>
    <w:rsid w:val="00A46282"/>
    <w:rsid w:val="00A66ADC"/>
    <w:rsid w:val="00AA0F3C"/>
    <w:rsid w:val="00AA157B"/>
    <w:rsid w:val="00AA7AAE"/>
    <w:rsid w:val="00AD2D22"/>
    <w:rsid w:val="00AD6F45"/>
    <w:rsid w:val="00AD714B"/>
    <w:rsid w:val="00AD7BB8"/>
    <w:rsid w:val="00AE2DAF"/>
    <w:rsid w:val="00AE3AC7"/>
    <w:rsid w:val="00AE6875"/>
    <w:rsid w:val="00AF7F60"/>
    <w:rsid w:val="00B04775"/>
    <w:rsid w:val="00B06976"/>
    <w:rsid w:val="00B12E8E"/>
    <w:rsid w:val="00B175AA"/>
    <w:rsid w:val="00B27403"/>
    <w:rsid w:val="00B27B0F"/>
    <w:rsid w:val="00B30488"/>
    <w:rsid w:val="00B31953"/>
    <w:rsid w:val="00B469E5"/>
    <w:rsid w:val="00B53EE5"/>
    <w:rsid w:val="00B55429"/>
    <w:rsid w:val="00B57C15"/>
    <w:rsid w:val="00B631F0"/>
    <w:rsid w:val="00B65E53"/>
    <w:rsid w:val="00B70671"/>
    <w:rsid w:val="00B76801"/>
    <w:rsid w:val="00B95326"/>
    <w:rsid w:val="00BA55FC"/>
    <w:rsid w:val="00BA6F53"/>
    <w:rsid w:val="00BA73EA"/>
    <w:rsid w:val="00BB2C5C"/>
    <w:rsid w:val="00BC311C"/>
    <w:rsid w:val="00BC46D5"/>
    <w:rsid w:val="00BD1039"/>
    <w:rsid w:val="00BD2DC1"/>
    <w:rsid w:val="00BD5A0E"/>
    <w:rsid w:val="00BD62A8"/>
    <w:rsid w:val="00BD6A7B"/>
    <w:rsid w:val="00BF0463"/>
    <w:rsid w:val="00BF5742"/>
    <w:rsid w:val="00C029B5"/>
    <w:rsid w:val="00C3628C"/>
    <w:rsid w:val="00C36652"/>
    <w:rsid w:val="00C51EA5"/>
    <w:rsid w:val="00C60373"/>
    <w:rsid w:val="00C60674"/>
    <w:rsid w:val="00C67811"/>
    <w:rsid w:val="00C70CDA"/>
    <w:rsid w:val="00C72AA9"/>
    <w:rsid w:val="00C774C6"/>
    <w:rsid w:val="00C831D2"/>
    <w:rsid w:val="00C92316"/>
    <w:rsid w:val="00CA2498"/>
    <w:rsid w:val="00CC146E"/>
    <w:rsid w:val="00CD036C"/>
    <w:rsid w:val="00CE144E"/>
    <w:rsid w:val="00CE1629"/>
    <w:rsid w:val="00CE60F2"/>
    <w:rsid w:val="00CE6A99"/>
    <w:rsid w:val="00CF1FD0"/>
    <w:rsid w:val="00CF3FDA"/>
    <w:rsid w:val="00D0740B"/>
    <w:rsid w:val="00D11F67"/>
    <w:rsid w:val="00D14581"/>
    <w:rsid w:val="00D31704"/>
    <w:rsid w:val="00D52999"/>
    <w:rsid w:val="00D7476B"/>
    <w:rsid w:val="00D82D49"/>
    <w:rsid w:val="00D93687"/>
    <w:rsid w:val="00DA389A"/>
    <w:rsid w:val="00DA62AD"/>
    <w:rsid w:val="00DA7684"/>
    <w:rsid w:val="00DB6D56"/>
    <w:rsid w:val="00DB7866"/>
    <w:rsid w:val="00DC3C0C"/>
    <w:rsid w:val="00DC6A2E"/>
    <w:rsid w:val="00DE0C81"/>
    <w:rsid w:val="00DF7620"/>
    <w:rsid w:val="00DF77D8"/>
    <w:rsid w:val="00E0450F"/>
    <w:rsid w:val="00E15616"/>
    <w:rsid w:val="00E17730"/>
    <w:rsid w:val="00E2705A"/>
    <w:rsid w:val="00E32030"/>
    <w:rsid w:val="00E349E2"/>
    <w:rsid w:val="00E3693B"/>
    <w:rsid w:val="00E36BCC"/>
    <w:rsid w:val="00E51891"/>
    <w:rsid w:val="00E54550"/>
    <w:rsid w:val="00E562D8"/>
    <w:rsid w:val="00E71E8F"/>
    <w:rsid w:val="00E7347B"/>
    <w:rsid w:val="00E74C32"/>
    <w:rsid w:val="00E765E1"/>
    <w:rsid w:val="00E76DA6"/>
    <w:rsid w:val="00EA3219"/>
    <w:rsid w:val="00EA61A1"/>
    <w:rsid w:val="00EC33A9"/>
    <w:rsid w:val="00EC4295"/>
    <w:rsid w:val="00ED436A"/>
    <w:rsid w:val="00ED5194"/>
    <w:rsid w:val="00EE49F6"/>
    <w:rsid w:val="00EF7C35"/>
    <w:rsid w:val="00F211E4"/>
    <w:rsid w:val="00F26452"/>
    <w:rsid w:val="00F33372"/>
    <w:rsid w:val="00F33549"/>
    <w:rsid w:val="00F44015"/>
    <w:rsid w:val="00F52506"/>
    <w:rsid w:val="00F63555"/>
    <w:rsid w:val="00F70931"/>
    <w:rsid w:val="00F71720"/>
    <w:rsid w:val="00FA2F2C"/>
    <w:rsid w:val="00FA6AE8"/>
    <w:rsid w:val="00FC1982"/>
    <w:rsid w:val="00FD49CF"/>
    <w:rsid w:val="02533D46"/>
    <w:rsid w:val="03F28DAF"/>
    <w:rsid w:val="0419A8F2"/>
    <w:rsid w:val="06914A53"/>
    <w:rsid w:val="0A5E504E"/>
    <w:rsid w:val="0BA1FB43"/>
    <w:rsid w:val="0C2C637E"/>
    <w:rsid w:val="0C378B99"/>
    <w:rsid w:val="0F56F849"/>
    <w:rsid w:val="10DF039D"/>
    <w:rsid w:val="11BD3CF5"/>
    <w:rsid w:val="11CC2A65"/>
    <w:rsid w:val="13312BAC"/>
    <w:rsid w:val="1367FAC6"/>
    <w:rsid w:val="1538A5B6"/>
    <w:rsid w:val="15E2885D"/>
    <w:rsid w:val="16792F43"/>
    <w:rsid w:val="17AE642E"/>
    <w:rsid w:val="182E30FA"/>
    <w:rsid w:val="18321242"/>
    <w:rsid w:val="1B4E5FAE"/>
    <w:rsid w:val="1B6D5426"/>
    <w:rsid w:val="1E235040"/>
    <w:rsid w:val="1FEC2E89"/>
    <w:rsid w:val="22554F25"/>
    <w:rsid w:val="25859A70"/>
    <w:rsid w:val="27457F12"/>
    <w:rsid w:val="2929AD9B"/>
    <w:rsid w:val="2D4FB894"/>
    <w:rsid w:val="2DACF4CE"/>
    <w:rsid w:val="33DEEEA5"/>
    <w:rsid w:val="33FE27BE"/>
    <w:rsid w:val="38275F32"/>
    <w:rsid w:val="38352B7A"/>
    <w:rsid w:val="39CD9C0A"/>
    <w:rsid w:val="3C46C988"/>
    <w:rsid w:val="3C5CE2AF"/>
    <w:rsid w:val="3D36E2AE"/>
    <w:rsid w:val="425B524A"/>
    <w:rsid w:val="42FE33C1"/>
    <w:rsid w:val="43C2C687"/>
    <w:rsid w:val="49384996"/>
    <w:rsid w:val="49473706"/>
    <w:rsid w:val="4CE35008"/>
    <w:rsid w:val="4FBDDEE7"/>
    <w:rsid w:val="512D9BEE"/>
    <w:rsid w:val="5159AF48"/>
    <w:rsid w:val="520D59D3"/>
    <w:rsid w:val="54BEC43C"/>
    <w:rsid w:val="58ED90C1"/>
    <w:rsid w:val="5F890726"/>
    <w:rsid w:val="624435EF"/>
    <w:rsid w:val="64273900"/>
    <w:rsid w:val="6528016F"/>
    <w:rsid w:val="67CE92CC"/>
    <w:rsid w:val="6814764E"/>
    <w:rsid w:val="6C11C275"/>
    <w:rsid w:val="6E29094C"/>
    <w:rsid w:val="6F9D0D97"/>
    <w:rsid w:val="70630B6F"/>
    <w:rsid w:val="709F5697"/>
    <w:rsid w:val="70DE7097"/>
    <w:rsid w:val="71AC35DF"/>
    <w:rsid w:val="7310ADED"/>
    <w:rsid w:val="739AAC31"/>
    <w:rsid w:val="73EDFB8C"/>
    <w:rsid w:val="74B1EF4F"/>
    <w:rsid w:val="7881D778"/>
    <w:rsid w:val="794F7417"/>
    <w:rsid w:val="7CB09F1A"/>
    <w:rsid w:val="7E3A52A7"/>
    <w:rsid w:val="7E4C6F7B"/>
    <w:rsid w:val="7F1F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F1C82"/>
  <w15:chartTrackingRefBased/>
  <w15:docId w15:val="{699EE58D-8421-4158-A0CE-C7E9CD40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1D2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E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51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4B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1D2"/>
    <w:pPr>
      <w:ind w:left="720"/>
      <w:contextualSpacing/>
    </w:pPr>
  </w:style>
  <w:style w:type="character" w:customStyle="1" w:styleId="normaltextrun">
    <w:name w:val="normaltextrun"/>
    <w:basedOn w:val="DefaultParagraphFont"/>
    <w:rsid w:val="00C831D2"/>
  </w:style>
  <w:style w:type="paragraph" w:styleId="NormalWeb">
    <w:name w:val="Normal (Web)"/>
    <w:basedOn w:val="Normal"/>
    <w:uiPriority w:val="99"/>
    <w:semiHidden/>
    <w:unhideWhenUsed/>
    <w:rsid w:val="00C831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eop">
    <w:name w:val="eop"/>
    <w:basedOn w:val="DefaultParagraphFont"/>
    <w:rsid w:val="00AD2D22"/>
  </w:style>
  <w:style w:type="paragraph" w:customStyle="1" w:styleId="paragraph">
    <w:name w:val="paragraph"/>
    <w:basedOn w:val="Normal"/>
    <w:rsid w:val="0051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44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D09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44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D09"/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D519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table" w:styleId="GridTable1Light-Accent3">
    <w:name w:val="Grid Table 1 Light Accent 3"/>
    <w:basedOn w:val="TableNormal"/>
    <w:uiPriority w:val="46"/>
    <w:rsid w:val="003D59CA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425E5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17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7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7E69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E69"/>
    <w:rPr>
      <w:rFonts w:eastAsiaTheme="minorEastAsia"/>
      <w:b/>
      <w:bCs/>
      <w:sz w:val="20"/>
      <w:szCs w:val="20"/>
      <w:lang w:eastAsia="ja-JP"/>
    </w:rPr>
  </w:style>
  <w:style w:type="character" w:customStyle="1" w:styleId="tabchar">
    <w:name w:val="tabchar"/>
    <w:basedOn w:val="DefaultParagraphFont"/>
    <w:rsid w:val="00893D24"/>
  </w:style>
  <w:style w:type="paragraph" w:styleId="Revision">
    <w:name w:val="Revision"/>
    <w:hidden/>
    <w:uiPriority w:val="99"/>
    <w:semiHidden/>
    <w:rsid w:val="00893D24"/>
    <w:pPr>
      <w:spacing w:after="0" w:line="240" w:lineRule="auto"/>
    </w:pPr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89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893D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findhit">
    <w:name w:val="findhit"/>
    <w:basedOn w:val="DefaultParagraphFont"/>
    <w:rsid w:val="00AE2DAF"/>
  </w:style>
  <w:style w:type="character" w:customStyle="1" w:styleId="Heading3Char">
    <w:name w:val="Heading 3 Char"/>
    <w:basedOn w:val="DefaultParagraphFont"/>
    <w:link w:val="Heading3"/>
    <w:uiPriority w:val="9"/>
    <w:rsid w:val="004D4B1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ja-JP"/>
    </w:rPr>
  </w:style>
  <w:style w:type="table" w:styleId="PlainTable1">
    <w:name w:val="Plain Table 1"/>
    <w:basedOn w:val="TableNormal"/>
    <w:uiPriority w:val="41"/>
    <w:rsid w:val="00232A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5A07C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BFAC78FF9F0CEB4E9833891515266116" ma:contentTypeVersion="4" ma:contentTypeDescription="" ma:contentTypeScope="" ma:versionID="6077e338a6be2e7130efe2a5ad1879f2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66a9313f20c809586fefbcea90844cc3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20fa0e76-e358-420e-b54c-de49fcad4c88}" ma:internalName="TaxCatchAll" ma:showField="CatchAllData" ma:web="061a9893-29f9-4ed4-a2f7-f71681f58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20fa0e76-e358-420e-b54c-de49fcad4c88}" ma:internalName="TaxCatchAllLabel" ma:readOnly="true" ma:showField="CatchAllDataLabel" ma:web="061a9893-29f9-4ed4-a2f7-f71681f58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 ma:readOnly="false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cb080a3dca4eb8a0fd03c7cc8bf8f7 xmlns="3e02667f-0271-471b-bd6e-11a2e16def1d">
      <Terms xmlns="http://schemas.microsoft.com/office/infopath/2007/PartnerControls"/>
    </o1cb080a3dca4eb8a0fd03c7cc8bf8f7>
    <Abstract xmlns="3e02667f-0271-471b-bd6e-11a2e16def1d" xsi:nil="true"/>
    <WBDocs_Access_To_Info_Exception xmlns="3e02667f-0271-471b-bd6e-11a2e16def1d">12. Not Assessed</WBDocs_Access_To_Info_Exception>
    <WBDocs_Document_Date xmlns="3e02667f-0271-471b-bd6e-11a2e16def1d">2024-02-23T19:27:40+00:00</WBDocs_Document_Date>
    <TaxCatchAll xmlns="3e02667f-0271-471b-bd6e-11a2e16def1d" xsi:nil="true"/>
    <OneCMS_Subcategory xmlns="3e02667f-0271-471b-bd6e-11a2e16def1d" xsi:nil="true"/>
    <i008215bacac45029ee8cafff4c8e93b xmlns="3e02667f-0271-471b-bd6e-11a2e16def1d">
      <Terms xmlns="http://schemas.microsoft.com/office/infopath/2007/PartnerControls"/>
    </i008215bacac45029ee8cafff4c8e93b>
    <WBDocs_Information_Classification xmlns="3e02667f-0271-471b-bd6e-11a2e16def1d">Official Use Only</WBDocs_Information_Classification>
    <OneCMS_Category xmlns="3e02667f-0271-471b-bd6e-11a2e16def1d" xsi:nil="true"/>
  </documentManagement>
</p:properties>
</file>

<file path=customXml/itemProps1.xml><?xml version="1.0" encoding="utf-8"?>
<ds:datastoreItem xmlns:ds="http://schemas.openxmlformats.org/officeDocument/2006/customXml" ds:itemID="{F8843A98-15F8-4300-B13A-E0E399CCC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9D6AA3-C93C-4D9C-9CDE-4DCC2774EF5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ED6ED2A-D66B-4054-A58E-F7C47558E65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7C10A53-40EA-49CB-951E-AA9E1E91D74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9B1534-EDF6-453C-9185-61C2282F93BF}">
  <ds:schemaRefs>
    <ds:schemaRef ds:uri="http://schemas.microsoft.com/office/2006/metadata/properties"/>
    <ds:schemaRef ds:uri="http://schemas.microsoft.com/office/infopath/2007/PartnerControls"/>
    <ds:schemaRef ds:uri="3e02667f-0271-471b-bd6e-11a2e16def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Khaitina</dc:creator>
  <cp:keywords/>
  <dc:description/>
  <cp:lastModifiedBy>Hana</cp:lastModifiedBy>
  <cp:revision>2</cp:revision>
  <dcterms:created xsi:type="dcterms:W3CDTF">2024-03-05T05:24:00Z</dcterms:created>
  <dcterms:modified xsi:type="dcterms:W3CDTF">2024-03-05T05:24:00Z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0x010100F4C63C3BD852AE468EAEFD0E6C57C64F0200BFAC78FF9F0CEB4E9833891515266116</vt:lpwstr>
  </property>
  <property fmtid="{D5CDD505-2E9C-101B-9397-08002B2CF9AE}" pid="3" name="MediaServiceImageTags">
    <vt:lpwstr/>
  </property>
  <property fmtid="{D5CDD505-2E9C-101B-9397-08002B2CF9AE}" pid="4" name="Order">
    <vt:r8>27100</vt:r8>
  </property>
  <property fmtid="{D5CDD505-2E9C-101B-9397-08002B2CF9AE}" pid="5" name="xd_Signature">
    <vt:bool>false</vt:bool>
  </property>
  <property fmtid="{D5CDD505-2E9C-101B-9397-08002B2CF9AE}" pid="6" name="SharedWithUsers">
    <vt:lpwstr>507;#Emilia Galiano;#31;#Natalia Mazoni Silva Martins;#30;#Tea Trumbic;#502;#Julia Constanze Braunmiller;#508;#Ana Maria Tribin Uribe;#512;#Jungwon Kim</vt:lpwstr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WBDocs_Local_Document_Type">
    <vt:lpwstr/>
  </property>
  <property fmtid="{D5CDD505-2E9C-101B-9397-08002B2CF9AE}" pid="13" name="lcf76f155ced4ddcb4097134ff3c332f">
    <vt:lpwstr/>
  </property>
  <property fmtid="{D5CDD505-2E9C-101B-9397-08002B2CF9AE}" pid="14" name="WBDocs_Originating_Unit">
    <vt:lpwstr/>
  </property>
</Properties>
</file>